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3E7" w:rsidRPr="00F07BB1" w:rsidRDefault="00DB5D7B" w:rsidP="00F07BB1">
      <w:pPr>
        <w:jc w:val="center"/>
        <w:rPr>
          <w:rFonts w:ascii="Arial" w:hAnsi="Arial" w:cs="Arial"/>
          <w:i/>
          <w:sz w:val="24"/>
          <w:szCs w:val="24"/>
          <w:lang w:val="bs-Latn-BA"/>
        </w:rPr>
      </w:pPr>
      <w:bookmarkStart w:id="0" w:name="_GoBack"/>
      <w:bookmarkEnd w:id="0"/>
      <w:r w:rsidRPr="00F07BB1">
        <w:rPr>
          <w:rFonts w:ascii="Arial" w:hAnsi="Arial" w:cs="Arial"/>
          <w:i/>
          <w:sz w:val="24"/>
          <w:szCs w:val="24"/>
          <w:lang w:val="bs-Latn-BA"/>
        </w:rPr>
        <w:t>Informacija o kreditnim aranžmanima proisteklim iz Donatorske konferencije – Brisel, 16.7.2014. godine</w:t>
      </w:r>
    </w:p>
    <w:p w:rsidR="00034196" w:rsidRDefault="00DB5D7B">
      <w:pPr>
        <w:rPr>
          <w:lang w:val="bs-Latn-BA"/>
        </w:rPr>
      </w:pPr>
      <w:r w:rsidRPr="00034196">
        <w:rPr>
          <w:rFonts w:ascii="Arial" w:hAnsi="Arial" w:cs="Arial"/>
          <w:sz w:val="24"/>
          <w:szCs w:val="24"/>
          <w:lang w:val="bs-Latn-BA"/>
        </w:rPr>
        <w:t>Iako se radilo o Donatorskoj konferenciji, Vladi FBiH na raspolaganje su stavljena isključivo kreditna sredstva. Do današnjeg dana, 24.9.2014. godine, u Budžet Federacije BiH nije uplaćena niti jedna konvertibilna marka donacija, a što se tiče kredita, iako odobren od strane Izvršnog odbora Svjetske banke, „Projekat hitnog oporavka od poplava u BiH“, u iznosu od $ 100 miliona</w:t>
      </w:r>
      <w:r w:rsidR="00034196">
        <w:rPr>
          <w:rFonts w:ascii="Arial" w:hAnsi="Arial" w:cs="Arial"/>
          <w:sz w:val="24"/>
          <w:szCs w:val="24"/>
          <w:lang w:val="bs-Latn-BA"/>
        </w:rPr>
        <w:t>, sredstva još uvijek nisu povućena jer se užurbano radi na dostavljanju projektne dokumentacije od strane nižih nivoa vlasti.</w:t>
      </w:r>
    </w:p>
    <w:p w:rsidR="00034196" w:rsidRDefault="00034196" w:rsidP="00034196">
      <w:pPr>
        <w:autoSpaceDE w:val="0"/>
        <w:autoSpaceDN w:val="0"/>
        <w:adjustRightInd w:val="0"/>
        <w:jc w:val="both"/>
        <w:rPr>
          <w:rFonts w:ascii="Arial" w:hAnsi="Arial" w:cs="Arial"/>
          <w:sz w:val="24"/>
          <w:szCs w:val="24"/>
          <w:lang w:val="hr-BA"/>
        </w:rPr>
      </w:pPr>
      <w:r>
        <w:rPr>
          <w:rFonts w:ascii="Arial" w:hAnsi="Arial" w:cs="Arial"/>
          <w:sz w:val="24"/>
          <w:szCs w:val="24"/>
          <w:lang w:val="hr-BA"/>
        </w:rPr>
        <w:t xml:space="preserve">Ukratko o kreditu </w:t>
      </w:r>
      <w:r w:rsidRPr="00034196">
        <w:rPr>
          <w:rFonts w:ascii="Arial" w:hAnsi="Arial" w:cs="Arial"/>
          <w:b/>
          <w:sz w:val="24"/>
          <w:szCs w:val="24"/>
          <w:lang w:val="hr-BA"/>
        </w:rPr>
        <w:t>SVJETSKE BANKE</w:t>
      </w:r>
      <w:r>
        <w:rPr>
          <w:rFonts w:ascii="Arial" w:hAnsi="Arial" w:cs="Arial"/>
          <w:sz w:val="24"/>
          <w:szCs w:val="24"/>
          <w:lang w:val="hr-BA"/>
        </w:rPr>
        <w:t xml:space="preserve"> - </w:t>
      </w:r>
      <w:r w:rsidRPr="0040163F">
        <w:rPr>
          <w:rFonts w:ascii="Arial" w:hAnsi="Arial" w:cs="Arial"/>
          <w:b/>
          <w:bCs/>
          <w:sz w:val="24"/>
          <w:szCs w:val="24"/>
        </w:rPr>
        <w:t xml:space="preserve">MEĐUNARODNE ASOCIJACIJE ZA RAZVOJ ZA PROJEKAT </w:t>
      </w:r>
      <w:r w:rsidRPr="0040163F">
        <w:rPr>
          <w:rFonts w:ascii="Arial" w:hAnsi="Arial" w:cs="Arial"/>
          <w:b/>
          <w:sz w:val="24"/>
          <w:szCs w:val="24"/>
          <w:lang w:val="hr-BA"/>
        </w:rPr>
        <w:t>PROJEKTA HITNOG OPORAVKA OD POPLAVA U BOSNI I HERCEGOVINI</w:t>
      </w:r>
    </w:p>
    <w:p w:rsidR="00034196" w:rsidRPr="0040163F" w:rsidRDefault="00034196" w:rsidP="00034196">
      <w:pPr>
        <w:autoSpaceDE w:val="0"/>
        <w:autoSpaceDN w:val="0"/>
        <w:adjustRightInd w:val="0"/>
        <w:jc w:val="both"/>
        <w:rPr>
          <w:rFonts w:ascii="Arial" w:hAnsi="Arial" w:cs="Arial"/>
          <w:sz w:val="24"/>
          <w:szCs w:val="24"/>
          <w:lang w:val="hr-BA"/>
        </w:rPr>
      </w:pPr>
      <w:r w:rsidRPr="0040163F">
        <w:rPr>
          <w:rFonts w:ascii="Arial" w:hAnsi="Arial" w:cs="Arial"/>
          <w:sz w:val="24"/>
          <w:szCs w:val="24"/>
          <w:lang w:val="hr-BA"/>
        </w:rPr>
        <w:t xml:space="preserve">Na osnovu provedenih konsultacija državnih i entitetskih institucija, Vijeće ministara BiH 20. maja 2014. godine uputilo je zvanični zahtjev Svjetskoj banci za korištenje grant sredstava navedenog fonda i pružanje pomoći za provođenje detaljne procjene potreba za oporavkom i dostavom finalnog izvještaja do 04. juna 2014. godine. Reagujući na takav zahtjev Svjetska banka, Evropska Unija i Ujedinjene nacije su 23. maja 2014. godine zajednički odgovorile i obavijestile vlasti u BiH da će udružiti svoje resurse i angažovati odgovarajuće stručnjake koji bi proveli brzu Procjenu potreba za oporavkom. </w:t>
      </w:r>
      <w:r>
        <w:rPr>
          <w:rFonts w:ascii="Arial" w:hAnsi="Arial" w:cs="Arial"/>
          <w:sz w:val="24"/>
          <w:szCs w:val="24"/>
          <w:lang w:val="hr-BA"/>
        </w:rPr>
        <w:t>Preliminarna p</w:t>
      </w:r>
      <w:r w:rsidRPr="0040163F">
        <w:rPr>
          <w:rFonts w:ascii="Arial" w:hAnsi="Arial" w:cs="Arial"/>
          <w:sz w:val="24"/>
          <w:szCs w:val="24"/>
          <w:lang w:val="hr-BA"/>
        </w:rPr>
        <w:t xml:space="preserve">rocjena </w:t>
      </w:r>
      <w:r>
        <w:rPr>
          <w:rFonts w:ascii="Arial" w:hAnsi="Arial" w:cs="Arial"/>
          <w:sz w:val="24"/>
          <w:szCs w:val="24"/>
          <w:lang w:val="hr-BA"/>
        </w:rPr>
        <w:t xml:space="preserve">šteta je </w:t>
      </w:r>
      <w:r w:rsidRPr="0040163F">
        <w:rPr>
          <w:rFonts w:ascii="Arial" w:hAnsi="Arial" w:cs="Arial"/>
          <w:sz w:val="24"/>
          <w:szCs w:val="24"/>
          <w:lang w:val="hr-BA"/>
        </w:rPr>
        <w:t>završena</w:t>
      </w:r>
      <w:r>
        <w:rPr>
          <w:rFonts w:ascii="Arial" w:hAnsi="Arial" w:cs="Arial"/>
          <w:sz w:val="24"/>
          <w:szCs w:val="24"/>
          <w:lang w:val="hr-BA"/>
        </w:rPr>
        <w:t xml:space="preserve">, a </w:t>
      </w:r>
      <w:r w:rsidRPr="0040163F">
        <w:rPr>
          <w:rFonts w:ascii="Arial" w:hAnsi="Arial" w:cs="Arial"/>
          <w:sz w:val="24"/>
          <w:szCs w:val="24"/>
          <w:lang w:val="hr-BA"/>
        </w:rPr>
        <w:t>vlastima BiH pre</w:t>
      </w:r>
      <w:r>
        <w:rPr>
          <w:rFonts w:ascii="Arial" w:hAnsi="Arial" w:cs="Arial"/>
          <w:sz w:val="24"/>
          <w:szCs w:val="24"/>
          <w:lang w:val="hr-BA"/>
        </w:rPr>
        <w:t>zentiran predmetni  izvještaj</w:t>
      </w:r>
      <w:r w:rsidRPr="0040163F">
        <w:rPr>
          <w:rFonts w:ascii="Arial" w:hAnsi="Arial" w:cs="Arial"/>
          <w:sz w:val="24"/>
          <w:szCs w:val="24"/>
          <w:lang w:val="hr-BA"/>
        </w:rPr>
        <w:t xml:space="preserve"> 18. juna 2014. godine. </w:t>
      </w:r>
    </w:p>
    <w:p w:rsidR="00034196" w:rsidRPr="0040163F" w:rsidRDefault="00034196" w:rsidP="00034196">
      <w:pPr>
        <w:spacing w:line="240" w:lineRule="auto"/>
        <w:jc w:val="both"/>
        <w:rPr>
          <w:rFonts w:ascii="Calibri" w:hAnsi="Calibri" w:cs="Calibri"/>
          <w:color w:val="000000"/>
          <w:sz w:val="24"/>
          <w:szCs w:val="24"/>
        </w:rPr>
      </w:pPr>
      <w:r w:rsidRPr="0040163F">
        <w:rPr>
          <w:rFonts w:ascii="Arial" w:hAnsi="Arial" w:cs="Arial"/>
          <w:sz w:val="24"/>
          <w:szCs w:val="24"/>
          <w:lang w:val="hr-BA"/>
        </w:rPr>
        <w:t xml:space="preserve">Nadležna tijela Svjetske banke odobrila su financiranje </w:t>
      </w:r>
      <w:proofErr w:type="spellStart"/>
      <w:r w:rsidRPr="0040163F">
        <w:rPr>
          <w:rFonts w:ascii="Arial" w:hAnsi="Arial" w:cs="Arial"/>
          <w:color w:val="000000"/>
          <w:sz w:val="24"/>
          <w:szCs w:val="24"/>
        </w:rPr>
        <w:t>Projekta</w:t>
      </w:r>
      <w:proofErr w:type="spellEnd"/>
      <w:r w:rsidRPr="0040163F">
        <w:rPr>
          <w:rFonts w:ascii="Arial" w:hAnsi="Arial" w:cs="Arial"/>
          <w:color w:val="000000"/>
          <w:sz w:val="24"/>
          <w:szCs w:val="24"/>
        </w:rPr>
        <w:t xml:space="preserve"> </w:t>
      </w:r>
      <w:r w:rsidRPr="0040163F">
        <w:rPr>
          <w:rFonts w:ascii="Arial" w:hAnsi="Arial" w:cs="Arial"/>
          <w:sz w:val="24"/>
          <w:szCs w:val="24"/>
          <w:lang w:val="hr-BA"/>
        </w:rPr>
        <w:t xml:space="preserve">hitnog oporavka od poplava u Bosni i Hercegovini, u ukupnom iznosu od </w:t>
      </w:r>
      <w:r w:rsidRPr="0040163F">
        <w:rPr>
          <w:rFonts w:ascii="Arial" w:hAnsi="Arial" w:cs="Arial"/>
          <w:color w:val="000000"/>
          <w:sz w:val="24"/>
          <w:szCs w:val="24"/>
        </w:rPr>
        <w:t>65.000.000,00 SDR (</w:t>
      </w:r>
      <w:proofErr w:type="spellStart"/>
      <w:r w:rsidRPr="0040163F">
        <w:rPr>
          <w:rFonts w:ascii="Arial" w:hAnsi="Arial" w:cs="Arial"/>
          <w:color w:val="000000"/>
          <w:sz w:val="24"/>
          <w:szCs w:val="24"/>
        </w:rPr>
        <w:t>ekvivalent</w:t>
      </w:r>
      <w:proofErr w:type="spellEnd"/>
      <w:r w:rsidRPr="0040163F">
        <w:rPr>
          <w:rFonts w:ascii="Arial" w:hAnsi="Arial" w:cs="Arial"/>
          <w:color w:val="000000"/>
          <w:sz w:val="24"/>
          <w:szCs w:val="24"/>
        </w:rPr>
        <w:t xml:space="preserve"> 100.000.000,00 USD)</w:t>
      </w:r>
      <w:r w:rsidRPr="0040163F">
        <w:rPr>
          <w:rFonts w:ascii="Calibri" w:hAnsi="Calibri" w:cs="Calibri"/>
          <w:color w:val="000000"/>
          <w:sz w:val="24"/>
          <w:szCs w:val="24"/>
        </w:rPr>
        <w:t xml:space="preserve"> </w:t>
      </w:r>
      <w:r w:rsidRPr="0040163F">
        <w:rPr>
          <w:rFonts w:ascii="Arial" w:hAnsi="Arial" w:cs="Arial"/>
          <w:sz w:val="24"/>
          <w:szCs w:val="24"/>
          <w:lang w:val="hr-BA"/>
        </w:rPr>
        <w:t xml:space="preserve">od čega se putem Supsidijarnih sporazuma </w:t>
      </w:r>
      <w:r w:rsidRPr="0040163F">
        <w:rPr>
          <w:rFonts w:ascii="Arial" w:hAnsi="Arial" w:cs="Arial"/>
          <w:noProof/>
          <w:sz w:val="24"/>
          <w:szCs w:val="24"/>
          <w:lang w:val="hr-BA"/>
        </w:rPr>
        <w:t>prenosi na krajnje dužnike.</w:t>
      </w:r>
    </w:p>
    <w:p w:rsidR="00034196" w:rsidRDefault="00034196" w:rsidP="00034196">
      <w:pPr>
        <w:spacing w:after="0"/>
        <w:jc w:val="both"/>
        <w:rPr>
          <w:rFonts w:ascii="Arial" w:hAnsi="Arial" w:cs="Arial"/>
          <w:color w:val="000000"/>
          <w:sz w:val="24"/>
          <w:szCs w:val="24"/>
        </w:rPr>
      </w:pPr>
      <w:r w:rsidRPr="0040163F">
        <w:rPr>
          <w:rFonts w:ascii="Arial" w:hAnsi="Arial" w:cs="Arial"/>
          <w:noProof/>
          <w:sz w:val="24"/>
          <w:szCs w:val="24"/>
          <w:lang w:val="hr-BA"/>
        </w:rPr>
        <w:t>- F BiH 47,5 % što iznosi</w:t>
      </w:r>
      <w:r w:rsidRPr="0040163F">
        <w:rPr>
          <w:rFonts w:ascii="Calibri" w:eastAsia="Times New Roman" w:hAnsi="Calibri" w:cs="Calibri"/>
          <w:color w:val="000000"/>
          <w:sz w:val="24"/>
          <w:szCs w:val="24"/>
        </w:rPr>
        <w:t xml:space="preserve"> </w:t>
      </w:r>
      <w:r w:rsidRPr="0040163F">
        <w:rPr>
          <w:rFonts w:ascii="Arial" w:eastAsia="Times New Roman" w:hAnsi="Arial" w:cs="Arial"/>
          <w:color w:val="000000"/>
          <w:sz w:val="24"/>
          <w:szCs w:val="24"/>
        </w:rPr>
        <w:t>30.875.000,00 SDR</w:t>
      </w:r>
      <w:r w:rsidRPr="0040163F">
        <w:rPr>
          <w:rFonts w:ascii="Calibri" w:eastAsia="Times New Roman" w:hAnsi="Calibri" w:cs="Calibri"/>
          <w:color w:val="000000"/>
          <w:sz w:val="24"/>
          <w:szCs w:val="24"/>
        </w:rPr>
        <w:t xml:space="preserve"> </w:t>
      </w:r>
      <w:r w:rsidRPr="0040163F">
        <w:rPr>
          <w:rFonts w:ascii="Arial" w:hAnsi="Arial" w:cs="Arial"/>
          <w:color w:val="000000"/>
          <w:sz w:val="24"/>
          <w:szCs w:val="24"/>
        </w:rPr>
        <w:t>(</w:t>
      </w:r>
      <w:proofErr w:type="spellStart"/>
      <w:r w:rsidRPr="0040163F">
        <w:rPr>
          <w:rFonts w:ascii="Arial" w:hAnsi="Arial" w:cs="Arial"/>
          <w:color w:val="000000"/>
          <w:sz w:val="24"/>
          <w:szCs w:val="24"/>
        </w:rPr>
        <w:t>ekvivalent</w:t>
      </w:r>
      <w:proofErr w:type="spellEnd"/>
      <w:r w:rsidRPr="0040163F">
        <w:rPr>
          <w:rFonts w:ascii="Arial" w:hAnsi="Arial" w:cs="Arial"/>
          <w:color w:val="000000"/>
          <w:sz w:val="24"/>
          <w:szCs w:val="24"/>
        </w:rPr>
        <w:t xml:space="preserve"> 47.500.000,00 USD);</w:t>
      </w:r>
    </w:p>
    <w:p w:rsidR="00034196" w:rsidRDefault="00034196" w:rsidP="00034196">
      <w:pPr>
        <w:spacing w:after="0"/>
        <w:jc w:val="both"/>
        <w:rPr>
          <w:rFonts w:ascii="Arial" w:hAnsi="Arial" w:cs="Arial"/>
          <w:color w:val="000000"/>
          <w:sz w:val="24"/>
          <w:szCs w:val="24"/>
        </w:rPr>
      </w:pPr>
      <w:r>
        <w:rPr>
          <w:rFonts w:ascii="Arial" w:hAnsi="Arial" w:cs="Arial"/>
          <w:color w:val="000000"/>
          <w:sz w:val="24"/>
          <w:szCs w:val="24"/>
        </w:rPr>
        <w:t xml:space="preserve">- </w:t>
      </w:r>
      <w:r w:rsidRPr="0040163F">
        <w:rPr>
          <w:rFonts w:ascii="Arial" w:hAnsi="Arial" w:cs="Arial"/>
          <w:noProof/>
          <w:sz w:val="24"/>
          <w:szCs w:val="24"/>
          <w:lang w:val="hr-BA"/>
        </w:rPr>
        <w:t>R</w:t>
      </w:r>
      <w:r>
        <w:rPr>
          <w:rFonts w:ascii="Arial" w:hAnsi="Arial" w:cs="Arial"/>
          <w:noProof/>
          <w:sz w:val="24"/>
          <w:szCs w:val="24"/>
          <w:lang w:val="hr-BA"/>
        </w:rPr>
        <w:t xml:space="preserve"> </w:t>
      </w:r>
      <w:r w:rsidRPr="0040163F">
        <w:rPr>
          <w:rFonts w:ascii="Arial" w:hAnsi="Arial" w:cs="Arial"/>
          <w:noProof/>
          <w:sz w:val="24"/>
          <w:szCs w:val="24"/>
          <w:lang w:val="hr-BA"/>
        </w:rPr>
        <w:t xml:space="preserve">Srpsku   47,5 % što </w:t>
      </w:r>
      <w:proofErr w:type="gramStart"/>
      <w:r w:rsidRPr="0040163F">
        <w:rPr>
          <w:rFonts w:ascii="Arial" w:hAnsi="Arial" w:cs="Arial"/>
          <w:noProof/>
          <w:sz w:val="24"/>
          <w:szCs w:val="24"/>
          <w:lang w:val="hr-BA"/>
        </w:rPr>
        <w:t xml:space="preserve">iznosi  </w:t>
      </w:r>
      <w:r w:rsidRPr="0040163F">
        <w:rPr>
          <w:rFonts w:ascii="Arial" w:eastAsia="Times New Roman" w:hAnsi="Arial" w:cs="Arial"/>
          <w:color w:val="000000"/>
          <w:sz w:val="24"/>
          <w:szCs w:val="24"/>
        </w:rPr>
        <w:t>30.875.000,00</w:t>
      </w:r>
      <w:proofErr w:type="gramEnd"/>
      <w:r w:rsidRPr="0040163F">
        <w:rPr>
          <w:rFonts w:ascii="Arial" w:eastAsia="Times New Roman" w:hAnsi="Arial" w:cs="Arial"/>
          <w:color w:val="000000"/>
          <w:sz w:val="24"/>
          <w:szCs w:val="24"/>
        </w:rPr>
        <w:t xml:space="preserve"> SDR</w:t>
      </w:r>
      <w:r w:rsidRPr="0040163F">
        <w:rPr>
          <w:rFonts w:ascii="Calibri" w:eastAsia="Times New Roman" w:hAnsi="Calibri" w:cs="Calibri"/>
          <w:color w:val="000000"/>
          <w:sz w:val="24"/>
          <w:szCs w:val="24"/>
        </w:rPr>
        <w:t xml:space="preserve"> </w:t>
      </w:r>
      <w:r w:rsidRPr="0040163F">
        <w:rPr>
          <w:rFonts w:ascii="Arial" w:hAnsi="Arial" w:cs="Arial"/>
          <w:color w:val="000000"/>
          <w:sz w:val="24"/>
          <w:szCs w:val="24"/>
        </w:rPr>
        <w:t>(</w:t>
      </w:r>
      <w:proofErr w:type="spellStart"/>
      <w:r w:rsidRPr="0040163F">
        <w:rPr>
          <w:rFonts w:ascii="Arial" w:hAnsi="Arial" w:cs="Arial"/>
          <w:color w:val="000000"/>
          <w:sz w:val="24"/>
          <w:szCs w:val="24"/>
        </w:rPr>
        <w:t>ekvivalent</w:t>
      </w:r>
      <w:proofErr w:type="spellEnd"/>
      <w:r w:rsidRPr="0040163F">
        <w:rPr>
          <w:rFonts w:ascii="Arial" w:hAnsi="Arial" w:cs="Arial"/>
          <w:color w:val="000000"/>
          <w:sz w:val="24"/>
          <w:szCs w:val="24"/>
        </w:rPr>
        <w:t xml:space="preserve"> 47.500.000,00 USD);</w:t>
      </w:r>
    </w:p>
    <w:p w:rsidR="00034196" w:rsidRDefault="00034196" w:rsidP="00034196">
      <w:pPr>
        <w:spacing w:after="0"/>
        <w:jc w:val="both"/>
        <w:rPr>
          <w:rFonts w:ascii="Arial" w:hAnsi="Arial" w:cs="Arial"/>
          <w:noProof/>
          <w:sz w:val="24"/>
          <w:szCs w:val="24"/>
          <w:lang w:val="hr-BA"/>
        </w:rPr>
      </w:pPr>
      <w:r>
        <w:rPr>
          <w:rFonts w:ascii="Arial" w:hAnsi="Arial" w:cs="Arial"/>
          <w:color w:val="000000"/>
          <w:sz w:val="24"/>
          <w:szCs w:val="24"/>
        </w:rPr>
        <w:t xml:space="preserve">- </w:t>
      </w:r>
      <w:proofErr w:type="spellStart"/>
      <w:r w:rsidRPr="0040163F">
        <w:rPr>
          <w:rFonts w:ascii="Arial" w:hAnsi="Arial" w:cs="Arial"/>
          <w:color w:val="000000"/>
          <w:sz w:val="24"/>
          <w:szCs w:val="24"/>
        </w:rPr>
        <w:t>Brčko</w:t>
      </w:r>
      <w:proofErr w:type="spellEnd"/>
      <w:r w:rsidRPr="0040163F">
        <w:rPr>
          <w:rFonts w:ascii="Arial" w:hAnsi="Arial" w:cs="Arial"/>
          <w:color w:val="000000"/>
          <w:sz w:val="24"/>
          <w:szCs w:val="24"/>
        </w:rPr>
        <w:t xml:space="preserve"> </w:t>
      </w:r>
      <w:proofErr w:type="spellStart"/>
      <w:r w:rsidRPr="0040163F">
        <w:rPr>
          <w:rFonts w:ascii="Arial" w:hAnsi="Arial" w:cs="Arial"/>
          <w:color w:val="000000"/>
          <w:sz w:val="24"/>
          <w:szCs w:val="24"/>
        </w:rPr>
        <w:t>Distrikt</w:t>
      </w:r>
      <w:proofErr w:type="spellEnd"/>
      <w:r w:rsidRPr="0040163F">
        <w:rPr>
          <w:rFonts w:ascii="Arial" w:hAnsi="Arial" w:cs="Arial"/>
          <w:color w:val="000000"/>
          <w:sz w:val="24"/>
          <w:szCs w:val="24"/>
        </w:rPr>
        <w:t xml:space="preserve"> 5 % </w:t>
      </w:r>
      <w:proofErr w:type="spellStart"/>
      <w:r w:rsidRPr="0040163F">
        <w:rPr>
          <w:rFonts w:ascii="Arial" w:hAnsi="Arial" w:cs="Arial"/>
          <w:color w:val="000000"/>
          <w:sz w:val="24"/>
          <w:szCs w:val="24"/>
        </w:rPr>
        <w:t>što</w:t>
      </w:r>
      <w:proofErr w:type="spellEnd"/>
      <w:r w:rsidRPr="0040163F">
        <w:rPr>
          <w:rFonts w:ascii="Arial" w:hAnsi="Arial" w:cs="Arial"/>
          <w:color w:val="000000"/>
          <w:sz w:val="24"/>
          <w:szCs w:val="24"/>
        </w:rPr>
        <w:t xml:space="preserve"> </w:t>
      </w:r>
      <w:proofErr w:type="spellStart"/>
      <w:r w:rsidRPr="0040163F">
        <w:rPr>
          <w:rFonts w:ascii="Arial" w:hAnsi="Arial" w:cs="Arial"/>
          <w:color w:val="000000"/>
          <w:sz w:val="24"/>
          <w:szCs w:val="24"/>
        </w:rPr>
        <w:t>iznosi</w:t>
      </w:r>
      <w:proofErr w:type="spellEnd"/>
      <w:r w:rsidRPr="0040163F">
        <w:rPr>
          <w:rFonts w:ascii="Arial" w:eastAsia="Times New Roman" w:hAnsi="Arial" w:cs="Arial"/>
          <w:color w:val="000000"/>
          <w:sz w:val="24"/>
          <w:szCs w:val="24"/>
        </w:rPr>
        <w:t xml:space="preserve"> 3.250.000</w:t>
      </w:r>
      <w:proofErr w:type="gramStart"/>
      <w:r w:rsidRPr="0040163F">
        <w:rPr>
          <w:rFonts w:ascii="Arial" w:eastAsia="Times New Roman" w:hAnsi="Arial" w:cs="Arial"/>
          <w:color w:val="000000"/>
          <w:sz w:val="24"/>
          <w:szCs w:val="24"/>
        </w:rPr>
        <w:t>,00</w:t>
      </w:r>
      <w:proofErr w:type="gramEnd"/>
      <w:r w:rsidRPr="0040163F">
        <w:rPr>
          <w:rFonts w:ascii="Calibri" w:eastAsia="Times New Roman" w:hAnsi="Calibri" w:cs="Calibri"/>
          <w:color w:val="000000"/>
          <w:sz w:val="24"/>
          <w:szCs w:val="24"/>
        </w:rPr>
        <w:t xml:space="preserve">    </w:t>
      </w:r>
      <w:r w:rsidRPr="0040163F">
        <w:rPr>
          <w:rFonts w:ascii="Arial" w:eastAsia="Times New Roman" w:hAnsi="Arial" w:cs="Arial"/>
          <w:color w:val="000000"/>
          <w:sz w:val="24"/>
          <w:szCs w:val="24"/>
        </w:rPr>
        <w:t>SDR</w:t>
      </w:r>
      <w:r w:rsidRPr="0040163F">
        <w:rPr>
          <w:rFonts w:ascii="Calibri" w:eastAsia="Times New Roman" w:hAnsi="Calibri" w:cs="Calibri"/>
          <w:color w:val="000000"/>
          <w:sz w:val="24"/>
          <w:szCs w:val="24"/>
        </w:rPr>
        <w:t xml:space="preserve"> </w:t>
      </w:r>
      <w:r w:rsidRPr="0040163F">
        <w:rPr>
          <w:rFonts w:ascii="Arial" w:hAnsi="Arial" w:cs="Arial"/>
          <w:color w:val="000000"/>
          <w:sz w:val="24"/>
          <w:szCs w:val="24"/>
        </w:rPr>
        <w:t>(</w:t>
      </w:r>
      <w:proofErr w:type="spellStart"/>
      <w:r w:rsidRPr="0040163F">
        <w:rPr>
          <w:rFonts w:ascii="Arial" w:hAnsi="Arial" w:cs="Arial"/>
          <w:color w:val="000000"/>
          <w:sz w:val="24"/>
          <w:szCs w:val="24"/>
        </w:rPr>
        <w:t>ekvivalent</w:t>
      </w:r>
      <w:proofErr w:type="spellEnd"/>
      <w:r w:rsidRPr="0040163F">
        <w:rPr>
          <w:rFonts w:ascii="Arial" w:hAnsi="Arial" w:cs="Arial"/>
          <w:color w:val="000000"/>
          <w:sz w:val="24"/>
          <w:szCs w:val="24"/>
        </w:rPr>
        <w:t xml:space="preserve"> 5.000.000,00 USD).</w:t>
      </w:r>
    </w:p>
    <w:p w:rsidR="00034196" w:rsidRPr="0040163F" w:rsidRDefault="00034196" w:rsidP="00034196">
      <w:pPr>
        <w:spacing w:after="0" w:line="240" w:lineRule="auto"/>
        <w:jc w:val="both"/>
        <w:rPr>
          <w:rFonts w:ascii="Arial" w:hAnsi="Arial" w:cs="Arial"/>
          <w:noProof/>
          <w:sz w:val="24"/>
          <w:szCs w:val="24"/>
          <w:lang w:val="hr-BA"/>
        </w:rPr>
      </w:pPr>
    </w:p>
    <w:p w:rsidR="00034196" w:rsidRPr="0040163F" w:rsidRDefault="00034196" w:rsidP="00034196">
      <w:pPr>
        <w:jc w:val="both"/>
        <w:rPr>
          <w:rFonts w:ascii="Arial" w:hAnsi="Arial" w:cs="Arial"/>
          <w:color w:val="000000"/>
          <w:sz w:val="24"/>
          <w:szCs w:val="24"/>
          <w:lang w:val="hr-BA"/>
        </w:rPr>
      </w:pPr>
      <w:proofErr w:type="spellStart"/>
      <w:r w:rsidRPr="0040163F">
        <w:rPr>
          <w:rFonts w:ascii="Arial" w:hAnsi="Arial" w:cs="Arial"/>
          <w:sz w:val="24"/>
          <w:szCs w:val="24"/>
        </w:rPr>
        <w:t>Sredstva</w:t>
      </w:r>
      <w:proofErr w:type="spellEnd"/>
      <w:r w:rsidRPr="0040163F">
        <w:rPr>
          <w:rFonts w:ascii="Arial" w:hAnsi="Arial" w:cs="Arial"/>
          <w:sz w:val="24"/>
          <w:szCs w:val="24"/>
        </w:rPr>
        <w:t xml:space="preserve"> </w:t>
      </w:r>
      <w:proofErr w:type="spellStart"/>
      <w:r w:rsidRPr="0040163F">
        <w:rPr>
          <w:rFonts w:ascii="Arial" w:hAnsi="Arial" w:cs="Arial"/>
          <w:sz w:val="24"/>
          <w:szCs w:val="24"/>
        </w:rPr>
        <w:t>kredita</w:t>
      </w:r>
      <w:proofErr w:type="spellEnd"/>
      <w:r w:rsidRPr="0040163F">
        <w:rPr>
          <w:rFonts w:ascii="Arial" w:hAnsi="Arial" w:cs="Arial"/>
          <w:sz w:val="24"/>
          <w:szCs w:val="24"/>
        </w:rPr>
        <w:t xml:space="preserve"> </w:t>
      </w:r>
      <w:proofErr w:type="spellStart"/>
      <w:r w:rsidRPr="0040163F">
        <w:rPr>
          <w:rFonts w:ascii="Arial" w:hAnsi="Arial" w:cs="Arial"/>
          <w:sz w:val="24"/>
          <w:szCs w:val="24"/>
        </w:rPr>
        <w:t>odobravaju</w:t>
      </w:r>
      <w:proofErr w:type="spellEnd"/>
      <w:r w:rsidRPr="0040163F">
        <w:rPr>
          <w:rFonts w:ascii="Arial" w:hAnsi="Arial" w:cs="Arial"/>
          <w:sz w:val="24"/>
          <w:szCs w:val="24"/>
        </w:rPr>
        <w:t xml:space="preserve"> se </w:t>
      </w:r>
      <w:proofErr w:type="spellStart"/>
      <w:r w:rsidRPr="0040163F">
        <w:rPr>
          <w:rFonts w:ascii="Arial" w:hAnsi="Arial" w:cs="Arial"/>
          <w:sz w:val="24"/>
          <w:szCs w:val="24"/>
        </w:rPr>
        <w:t>Federaciji</w:t>
      </w:r>
      <w:proofErr w:type="spellEnd"/>
      <w:r w:rsidRPr="0040163F">
        <w:rPr>
          <w:rFonts w:ascii="Arial" w:hAnsi="Arial" w:cs="Arial"/>
          <w:sz w:val="24"/>
          <w:szCs w:val="24"/>
        </w:rPr>
        <w:t xml:space="preserve"> pod </w:t>
      </w:r>
      <w:proofErr w:type="spellStart"/>
      <w:r w:rsidRPr="0040163F">
        <w:rPr>
          <w:rFonts w:ascii="Arial" w:hAnsi="Arial" w:cs="Arial"/>
          <w:sz w:val="24"/>
          <w:szCs w:val="24"/>
        </w:rPr>
        <w:t>sljedećim</w:t>
      </w:r>
      <w:proofErr w:type="spellEnd"/>
      <w:r w:rsidRPr="0040163F">
        <w:rPr>
          <w:rFonts w:ascii="Arial" w:hAnsi="Arial" w:cs="Arial"/>
          <w:sz w:val="24"/>
          <w:szCs w:val="24"/>
        </w:rPr>
        <w:t xml:space="preserve"> </w:t>
      </w:r>
      <w:proofErr w:type="spellStart"/>
      <w:r w:rsidRPr="0040163F">
        <w:rPr>
          <w:rFonts w:ascii="Arial" w:hAnsi="Arial" w:cs="Arial"/>
          <w:sz w:val="24"/>
          <w:szCs w:val="24"/>
        </w:rPr>
        <w:t>uvjetima</w:t>
      </w:r>
      <w:proofErr w:type="spellEnd"/>
      <w:r w:rsidRPr="0040163F">
        <w:rPr>
          <w:rFonts w:ascii="Arial" w:hAnsi="Arial" w:cs="Arial"/>
          <w:sz w:val="24"/>
          <w:szCs w:val="24"/>
        </w:rPr>
        <w:t xml:space="preserve"> i </w:t>
      </w:r>
      <w:proofErr w:type="spellStart"/>
      <w:r w:rsidRPr="0040163F">
        <w:rPr>
          <w:rFonts w:ascii="Arial" w:hAnsi="Arial" w:cs="Arial"/>
          <w:sz w:val="24"/>
          <w:szCs w:val="24"/>
        </w:rPr>
        <w:t>rokovima</w:t>
      </w:r>
      <w:proofErr w:type="spellEnd"/>
      <w:r w:rsidRPr="0040163F">
        <w:rPr>
          <w:rFonts w:ascii="Arial" w:hAnsi="Arial" w:cs="Arial"/>
          <w:sz w:val="24"/>
          <w:szCs w:val="24"/>
        </w:rPr>
        <w:t>:</w:t>
      </w:r>
    </w:p>
    <w:p w:rsidR="00034196" w:rsidRPr="0040163F" w:rsidRDefault="00034196" w:rsidP="00034196">
      <w:pPr>
        <w:pStyle w:val="ListParagraph"/>
        <w:numPr>
          <w:ilvl w:val="0"/>
          <w:numId w:val="1"/>
        </w:numPr>
        <w:tabs>
          <w:tab w:val="right" w:leader="dot" w:pos="9000"/>
        </w:tabs>
        <w:spacing w:after="0" w:line="240" w:lineRule="auto"/>
        <w:rPr>
          <w:rFonts w:ascii="Arial" w:hAnsi="Arial" w:cs="Arial"/>
          <w:color w:val="000000"/>
          <w:sz w:val="24"/>
          <w:szCs w:val="24"/>
        </w:rPr>
      </w:pPr>
      <w:r w:rsidRPr="0040163F">
        <w:rPr>
          <w:rFonts w:ascii="Arial" w:hAnsi="Arial" w:cs="Arial"/>
          <w:bCs/>
          <w:color w:val="000000"/>
          <w:sz w:val="24"/>
          <w:szCs w:val="24"/>
        </w:rPr>
        <w:t>rok otplate.................................................................</w:t>
      </w:r>
      <w:r>
        <w:rPr>
          <w:rFonts w:ascii="Arial" w:hAnsi="Arial" w:cs="Arial"/>
          <w:bCs/>
          <w:color w:val="000000"/>
          <w:sz w:val="24"/>
          <w:szCs w:val="24"/>
        </w:rPr>
        <w:t>.....</w:t>
      </w:r>
      <w:r w:rsidRPr="0040163F">
        <w:rPr>
          <w:rFonts w:ascii="Arial" w:hAnsi="Arial" w:cs="Arial"/>
          <w:bCs/>
          <w:color w:val="000000"/>
          <w:sz w:val="24"/>
          <w:szCs w:val="24"/>
        </w:rPr>
        <w:t>.....................25 godina</w:t>
      </w:r>
    </w:p>
    <w:p w:rsidR="00034196" w:rsidRPr="0040163F" w:rsidRDefault="00034196" w:rsidP="00034196">
      <w:pPr>
        <w:pStyle w:val="ListParagraph"/>
        <w:numPr>
          <w:ilvl w:val="0"/>
          <w:numId w:val="1"/>
        </w:numPr>
        <w:tabs>
          <w:tab w:val="right" w:leader="dot" w:pos="9000"/>
        </w:tabs>
        <w:spacing w:after="0" w:line="240" w:lineRule="auto"/>
        <w:rPr>
          <w:rFonts w:ascii="Arial" w:hAnsi="Arial" w:cs="Arial"/>
          <w:color w:val="000000"/>
          <w:sz w:val="24"/>
          <w:szCs w:val="24"/>
        </w:rPr>
      </w:pPr>
      <w:r w:rsidRPr="0040163F">
        <w:rPr>
          <w:rFonts w:ascii="Arial" w:hAnsi="Arial" w:cs="Arial"/>
          <w:color w:val="000000"/>
          <w:sz w:val="24"/>
          <w:szCs w:val="24"/>
        </w:rPr>
        <w:t>grace period:.............................................................</w:t>
      </w:r>
      <w:r>
        <w:rPr>
          <w:rFonts w:ascii="Arial" w:hAnsi="Arial" w:cs="Arial"/>
          <w:color w:val="000000"/>
          <w:sz w:val="24"/>
          <w:szCs w:val="24"/>
        </w:rPr>
        <w:t>....</w:t>
      </w:r>
      <w:r w:rsidRPr="0040163F">
        <w:rPr>
          <w:rFonts w:ascii="Arial" w:hAnsi="Arial" w:cs="Arial"/>
          <w:color w:val="000000"/>
          <w:sz w:val="24"/>
          <w:szCs w:val="24"/>
        </w:rPr>
        <w:t>..</w:t>
      </w:r>
      <w:r>
        <w:rPr>
          <w:rFonts w:ascii="Arial" w:hAnsi="Arial" w:cs="Arial"/>
          <w:color w:val="000000"/>
          <w:sz w:val="24"/>
          <w:szCs w:val="24"/>
        </w:rPr>
        <w:t>.</w:t>
      </w:r>
      <w:r w:rsidRPr="0040163F">
        <w:rPr>
          <w:rFonts w:ascii="Arial" w:hAnsi="Arial" w:cs="Arial"/>
          <w:color w:val="000000"/>
          <w:sz w:val="24"/>
          <w:szCs w:val="24"/>
        </w:rPr>
        <w:t>.....................5 godina</w:t>
      </w:r>
    </w:p>
    <w:p w:rsidR="00034196" w:rsidRPr="0040163F" w:rsidRDefault="00034196" w:rsidP="00034196">
      <w:pPr>
        <w:pStyle w:val="ListParagraph"/>
        <w:numPr>
          <w:ilvl w:val="0"/>
          <w:numId w:val="1"/>
        </w:numPr>
        <w:tabs>
          <w:tab w:val="right" w:leader="dot" w:pos="9000"/>
        </w:tabs>
        <w:spacing w:after="0" w:line="240" w:lineRule="auto"/>
        <w:rPr>
          <w:rFonts w:ascii="Arial" w:hAnsi="Arial" w:cs="Arial"/>
          <w:color w:val="000000"/>
          <w:sz w:val="24"/>
          <w:szCs w:val="24"/>
        </w:rPr>
      </w:pPr>
      <w:r w:rsidRPr="0040163F">
        <w:rPr>
          <w:rFonts w:ascii="Arial" w:hAnsi="Arial" w:cs="Arial"/>
          <w:sz w:val="24"/>
          <w:szCs w:val="24"/>
        </w:rPr>
        <w:t>servisni troškovi:..................................................</w:t>
      </w:r>
      <w:r>
        <w:rPr>
          <w:rFonts w:ascii="Arial" w:hAnsi="Arial" w:cs="Arial"/>
          <w:sz w:val="24"/>
          <w:szCs w:val="24"/>
        </w:rPr>
        <w:t>....</w:t>
      </w:r>
      <w:r w:rsidRPr="0040163F">
        <w:rPr>
          <w:rFonts w:ascii="Arial" w:hAnsi="Arial" w:cs="Arial"/>
          <w:sz w:val="24"/>
          <w:szCs w:val="24"/>
        </w:rPr>
        <w:t>....</w:t>
      </w:r>
      <w:r>
        <w:rPr>
          <w:rFonts w:ascii="Arial" w:hAnsi="Arial" w:cs="Arial"/>
          <w:sz w:val="24"/>
          <w:szCs w:val="24"/>
        </w:rPr>
        <w:t>.</w:t>
      </w:r>
      <w:r w:rsidRPr="0040163F">
        <w:rPr>
          <w:rFonts w:ascii="Arial" w:hAnsi="Arial" w:cs="Arial"/>
          <w:sz w:val="24"/>
          <w:szCs w:val="24"/>
        </w:rPr>
        <w:t>.............0,75 % godišnje</w:t>
      </w:r>
    </w:p>
    <w:p w:rsidR="00034196" w:rsidRPr="0040163F" w:rsidRDefault="00034196" w:rsidP="00034196">
      <w:pPr>
        <w:pStyle w:val="ListParagraph"/>
        <w:numPr>
          <w:ilvl w:val="0"/>
          <w:numId w:val="1"/>
        </w:numPr>
        <w:tabs>
          <w:tab w:val="right" w:leader="dot" w:pos="9000"/>
        </w:tabs>
        <w:spacing w:after="0" w:line="240" w:lineRule="auto"/>
        <w:rPr>
          <w:rFonts w:ascii="Arial" w:hAnsi="Arial" w:cs="Arial"/>
          <w:color w:val="000000"/>
          <w:sz w:val="24"/>
          <w:szCs w:val="24"/>
        </w:rPr>
      </w:pPr>
      <w:r w:rsidRPr="0040163F">
        <w:rPr>
          <w:rFonts w:ascii="Arial" w:hAnsi="Arial" w:cs="Arial"/>
          <w:bCs/>
          <w:color w:val="000000"/>
          <w:sz w:val="24"/>
          <w:szCs w:val="24"/>
        </w:rPr>
        <w:t>kamatna stopa:.............................................</w:t>
      </w:r>
      <w:r>
        <w:rPr>
          <w:rFonts w:ascii="Arial" w:hAnsi="Arial" w:cs="Arial"/>
          <w:bCs/>
          <w:color w:val="000000"/>
          <w:sz w:val="24"/>
          <w:szCs w:val="24"/>
        </w:rPr>
        <w:t>....</w:t>
      </w:r>
      <w:r w:rsidRPr="0040163F">
        <w:rPr>
          <w:rFonts w:ascii="Arial" w:hAnsi="Arial" w:cs="Arial"/>
          <w:bCs/>
          <w:color w:val="000000"/>
          <w:sz w:val="24"/>
          <w:szCs w:val="24"/>
        </w:rPr>
        <w:t>.........</w:t>
      </w:r>
      <w:r>
        <w:rPr>
          <w:rFonts w:ascii="Arial" w:hAnsi="Arial" w:cs="Arial"/>
          <w:bCs/>
          <w:color w:val="000000"/>
          <w:sz w:val="24"/>
          <w:szCs w:val="24"/>
        </w:rPr>
        <w:t>.</w:t>
      </w:r>
      <w:r w:rsidRPr="0040163F">
        <w:rPr>
          <w:rFonts w:ascii="Arial" w:hAnsi="Arial" w:cs="Arial"/>
          <w:bCs/>
          <w:color w:val="000000"/>
          <w:sz w:val="24"/>
          <w:szCs w:val="24"/>
        </w:rPr>
        <w:t>................1,25% godišnje</w:t>
      </w:r>
    </w:p>
    <w:p w:rsidR="00034196" w:rsidRPr="0040163F" w:rsidRDefault="00034196" w:rsidP="00034196">
      <w:pPr>
        <w:pStyle w:val="ListParagraph"/>
        <w:numPr>
          <w:ilvl w:val="0"/>
          <w:numId w:val="1"/>
        </w:numPr>
        <w:tabs>
          <w:tab w:val="right" w:leader="dot" w:pos="9000"/>
        </w:tabs>
        <w:spacing w:after="0" w:line="240" w:lineRule="auto"/>
        <w:rPr>
          <w:rFonts w:ascii="Arial" w:hAnsi="Arial" w:cs="Arial"/>
          <w:color w:val="000000"/>
          <w:sz w:val="24"/>
          <w:szCs w:val="24"/>
        </w:rPr>
      </w:pPr>
      <w:r w:rsidRPr="0040163F">
        <w:rPr>
          <w:rFonts w:ascii="Arial" w:hAnsi="Arial" w:cs="Arial"/>
          <w:color w:val="000000"/>
          <w:sz w:val="24"/>
          <w:szCs w:val="24"/>
        </w:rPr>
        <w:t>dospijeća:...................................................</w:t>
      </w:r>
      <w:r>
        <w:rPr>
          <w:rFonts w:ascii="Arial" w:hAnsi="Arial" w:cs="Arial"/>
          <w:color w:val="000000"/>
          <w:sz w:val="24"/>
          <w:szCs w:val="24"/>
        </w:rPr>
        <w:t>...</w:t>
      </w:r>
      <w:r w:rsidRPr="0040163F">
        <w:rPr>
          <w:rFonts w:ascii="Arial" w:hAnsi="Arial" w:cs="Arial"/>
          <w:color w:val="000000"/>
          <w:sz w:val="24"/>
          <w:szCs w:val="24"/>
        </w:rPr>
        <w:t>..................................polugodišnje</w:t>
      </w:r>
    </w:p>
    <w:p w:rsidR="00034196" w:rsidRPr="0040163F" w:rsidRDefault="00034196" w:rsidP="00034196">
      <w:pPr>
        <w:pStyle w:val="ListParagraph"/>
        <w:numPr>
          <w:ilvl w:val="0"/>
          <w:numId w:val="1"/>
        </w:numPr>
        <w:tabs>
          <w:tab w:val="right" w:leader="dot" w:pos="9000"/>
        </w:tabs>
        <w:spacing w:after="0" w:line="240" w:lineRule="auto"/>
        <w:rPr>
          <w:rFonts w:ascii="Arial" w:hAnsi="Arial" w:cs="Arial"/>
          <w:color w:val="000000"/>
          <w:sz w:val="24"/>
          <w:szCs w:val="24"/>
        </w:rPr>
      </w:pPr>
      <w:r w:rsidRPr="0040163F">
        <w:rPr>
          <w:rFonts w:ascii="Arial" w:hAnsi="Arial" w:cs="Arial"/>
          <w:bCs/>
          <w:color w:val="000000"/>
          <w:sz w:val="24"/>
          <w:szCs w:val="24"/>
        </w:rPr>
        <w:t>datumi plaćanja glavnice i kamata:..</w:t>
      </w:r>
      <w:r>
        <w:rPr>
          <w:rFonts w:ascii="Arial" w:hAnsi="Arial" w:cs="Arial"/>
          <w:bCs/>
          <w:color w:val="000000"/>
          <w:sz w:val="24"/>
          <w:szCs w:val="24"/>
        </w:rPr>
        <w:t>.....</w:t>
      </w:r>
      <w:r w:rsidRPr="0040163F">
        <w:rPr>
          <w:rFonts w:ascii="Arial" w:hAnsi="Arial" w:cs="Arial"/>
          <w:bCs/>
          <w:color w:val="000000"/>
          <w:sz w:val="24"/>
          <w:szCs w:val="24"/>
        </w:rPr>
        <w:t>.15. veljače i 15. kolovoz svake godine</w:t>
      </w:r>
    </w:p>
    <w:p w:rsidR="00034196" w:rsidRPr="0040163F" w:rsidRDefault="00034196" w:rsidP="00034196">
      <w:pPr>
        <w:tabs>
          <w:tab w:val="right" w:leader="dot" w:pos="9000"/>
        </w:tabs>
        <w:spacing w:after="0" w:line="240" w:lineRule="auto"/>
        <w:ind w:left="1068"/>
        <w:rPr>
          <w:rFonts w:ascii="Arial" w:hAnsi="Arial" w:cs="Arial"/>
          <w:color w:val="000000"/>
          <w:sz w:val="24"/>
          <w:szCs w:val="24"/>
        </w:rPr>
      </w:pPr>
    </w:p>
    <w:p w:rsidR="00034196" w:rsidRPr="0040163F" w:rsidRDefault="00034196" w:rsidP="00034196">
      <w:pPr>
        <w:pStyle w:val="ListParagraph"/>
        <w:autoSpaceDE w:val="0"/>
        <w:autoSpaceDN w:val="0"/>
        <w:adjustRightInd w:val="0"/>
        <w:spacing w:line="240" w:lineRule="auto"/>
        <w:ind w:left="0"/>
        <w:jc w:val="both"/>
        <w:rPr>
          <w:rFonts w:ascii="Arial" w:hAnsi="Arial" w:cs="Arial"/>
          <w:color w:val="000000"/>
          <w:sz w:val="24"/>
          <w:szCs w:val="24"/>
          <w:lang w:val="hr-BA"/>
        </w:rPr>
      </w:pPr>
      <w:r w:rsidRPr="0040163F">
        <w:rPr>
          <w:rFonts w:ascii="Arial" w:hAnsi="Arial" w:cs="Arial"/>
          <w:sz w:val="24"/>
          <w:szCs w:val="24"/>
          <w:lang w:val="hr-HR"/>
        </w:rPr>
        <w:t xml:space="preserve">Vlada Federacije Federacije Bosne i Herecegovine je na svojoj 117. sjednici održanoj dana 28.05.2014. godine usvojila Zaključak V. broj: 987/2014 kojim </w:t>
      </w:r>
      <w:r w:rsidRPr="0040163F">
        <w:rPr>
          <w:rFonts w:ascii="Arial" w:hAnsi="Arial" w:cs="Arial"/>
          <w:color w:val="000000"/>
          <w:sz w:val="24"/>
          <w:szCs w:val="24"/>
          <w:lang w:val="hr-BA"/>
        </w:rPr>
        <w:t xml:space="preserve">podržava inicijativu da se zaduženjem kod </w:t>
      </w:r>
      <w:r w:rsidRPr="0040163F">
        <w:rPr>
          <w:rFonts w:ascii="Arial" w:hAnsi="Arial" w:cs="Arial"/>
          <w:sz w:val="24"/>
          <w:szCs w:val="24"/>
        </w:rPr>
        <w:t xml:space="preserve">Svjetske banke - Međunarodne asocijacije za razvoj (IDA) </w:t>
      </w:r>
      <w:r w:rsidRPr="0040163F">
        <w:rPr>
          <w:rFonts w:ascii="Arial" w:hAnsi="Arial" w:cs="Arial"/>
          <w:noProof/>
          <w:sz w:val="24"/>
          <w:szCs w:val="24"/>
          <w:lang w:val="hr-BA"/>
        </w:rPr>
        <w:t xml:space="preserve">osiguraju sredstva za realizaciju </w:t>
      </w:r>
      <w:r w:rsidRPr="0040163F">
        <w:rPr>
          <w:rFonts w:ascii="Arial" w:hAnsi="Arial" w:cs="Arial"/>
          <w:color w:val="000000"/>
          <w:sz w:val="24"/>
          <w:szCs w:val="24"/>
        </w:rPr>
        <w:t xml:space="preserve">Projekta </w:t>
      </w:r>
      <w:r w:rsidRPr="0040163F">
        <w:rPr>
          <w:rFonts w:ascii="Arial" w:hAnsi="Arial" w:cs="Arial"/>
          <w:bCs/>
          <w:sz w:val="24"/>
          <w:szCs w:val="24"/>
        </w:rPr>
        <w:t xml:space="preserve">zaštite od Poplava </w:t>
      </w:r>
      <w:r w:rsidRPr="0040163F">
        <w:rPr>
          <w:rFonts w:ascii="Arial" w:hAnsi="Arial" w:cs="Arial"/>
          <w:sz w:val="24"/>
          <w:szCs w:val="24"/>
          <w:lang w:val="hr-BA"/>
        </w:rPr>
        <w:t xml:space="preserve">hitnog oporavka od poplava u Bosni i Hercegovini. </w:t>
      </w:r>
    </w:p>
    <w:p w:rsidR="00034196" w:rsidRDefault="00034196" w:rsidP="00034196">
      <w:pPr>
        <w:pStyle w:val="BankNormal"/>
        <w:jc w:val="both"/>
        <w:rPr>
          <w:rFonts w:ascii="Arial" w:hAnsi="Arial" w:cs="Arial"/>
          <w:szCs w:val="24"/>
          <w:lang w:val="hr-BA"/>
        </w:rPr>
      </w:pPr>
      <w:r w:rsidRPr="0040163F">
        <w:rPr>
          <w:rFonts w:ascii="Arial" w:hAnsi="Arial" w:cs="Arial"/>
          <w:szCs w:val="24"/>
          <w:lang w:val="hr-BA"/>
        </w:rPr>
        <w:lastRenderedPageBreak/>
        <w:t xml:space="preserve">Dana 10. juna 2014. godine u Uredu Svjetske banke u Sarajevu, održani su pregovori na kojim je usaglašen nacrt Sporazuma o financiranju između Bosne i Hercegovine i IDA-e, nacrt Projektnog sporazuma između Federacije Bosne i Hercegovine i IDA-e, nacrt Projektnog sporazuma između Republike Srpske i IDA-e i nacrt Projektnog sporazuma između Brčko Distrikta i IDA-e o finansiranju Međunarodne asocijacije za razvoj (IDA) za Projekt. </w:t>
      </w:r>
    </w:p>
    <w:p w:rsidR="00034196" w:rsidRPr="0040163F" w:rsidRDefault="00034196" w:rsidP="00034196">
      <w:pPr>
        <w:pStyle w:val="BankNormal"/>
        <w:jc w:val="both"/>
        <w:rPr>
          <w:rFonts w:ascii="Arial" w:hAnsi="Arial" w:cs="Arial"/>
          <w:szCs w:val="24"/>
          <w:lang w:val="hr-BA"/>
        </w:rPr>
      </w:pPr>
      <w:r w:rsidRPr="0040163F">
        <w:rPr>
          <w:rFonts w:ascii="Arial" w:hAnsi="Arial" w:cs="Arial"/>
          <w:szCs w:val="24"/>
          <w:lang w:val="hr-BA"/>
        </w:rPr>
        <w:t>Na pregovirima  su prisustvovali predstavnici Svjetske banke, Ministarstva financija i trezora BiH, Federalnog ministarstva financija, Federalnog ministarstvo poljoprivrede, vodoprivrede i šumarstva, Ministarstva financija RS, Ministarstva poljoprivrede, vodoprivrede i šumarstva RS i Direkcije za financije Brčko Distrikta.</w:t>
      </w:r>
      <w:r>
        <w:rPr>
          <w:rFonts w:ascii="Arial" w:hAnsi="Arial" w:cs="Arial"/>
          <w:szCs w:val="24"/>
          <w:lang w:val="hr-BA"/>
        </w:rPr>
        <w:t xml:space="preserve">    </w:t>
      </w:r>
    </w:p>
    <w:p w:rsidR="00DB5D7B" w:rsidRDefault="00034196" w:rsidP="00F26574">
      <w:pPr>
        <w:jc w:val="both"/>
        <w:rPr>
          <w:lang w:val="bs-Latn-BA"/>
        </w:rPr>
      </w:pPr>
      <w:r w:rsidRPr="0040163F">
        <w:rPr>
          <w:rFonts w:ascii="Arial" w:hAnsi="Arial" w:cs="Arial"/>
          <w:sz w:val="24"/>
          <w:szCs w:val="24"/>
          <w:lang w:val="hr-BA"/>
        </w:rPr>
        <w:t>Cilj Projekta je pokrivanje kritičnih potreba i obnavljanje funkcije infrastrukture bitne za javne usluge i ekonomski oporavak u područjima pogođenim poplavama.</w:t>
      </w:r>
      <w:r w:rsidRPr="0040163F">
        <w:rPr>
          <w:rFonts w:ascii="Arial" w:hAnsi="Arial" w:cs="Arial"/>
          <w:color w:val="000000"/>
          <w:sz w:val="24"/>
          <w:szCs w:val="24"/>
          <w:lang w:val="hr-BA"/>
        </w:rPr>
        <w:t xml:space="preserve"> </w:t>
      </w:r>
      <w:r w:rsidRPr="0040163F">
        <w:rPr>
          <w:rFonts w:ascii="Arial" w:hAnsi="Arial" w:cs="Arial"/>
          <w:sz w:val="24"/>
          <w:szCs w:val="24"/>
          <w:lang w:val="hr-BA"/>
        </w:rPr>
        <w:t>Projekt se sastoji od nabavke roba za hitni oporavak od katastrofe (logističke robe, robe za rekonstrukciju, robe za sektor energetike i električne energije, kao i robe za oporavak poljoprivrede, pri čemu su kao početni prioriteti određeni gorivo i hrana, poljoprivredne robe), rehabilitacije ključne javne infrastrukture (rehabilitacija ili rekonstrukcija prioritetne regionalne javne infrastrukture putem pod-projekata u područijma pogođenim poplavom, rehabilitacija ili rekonstrukcija prioritetne infrastrukture za pružanje javnih usluga putem pod-projekata u područjima pogođenim poplavom i  podrška za implementaciju projekta i izgradnja kapaciteta – (podrška za implementaciju projekta putem pokrivanja operativnih troškova PIU-a Federacije i opreme za implementaciju Projekta i jačanje institucionalnog kapaciteta Federalnih i lokalnih organa unutar Federacije za proaktivni pristup upravljanju rizicima putem pružanja tehničke pomoći i obuke)</w:t>
      </w:r>
      <w:r w:rsidR="00F26574">
        <w:rPr>
          <w:lang w:val="bs-Latn-BA"/>
        </w:rPr>
        <w:t>.</w:t>
      </w:r>
    </w:p>
    <w:p w:rsidR="00034196" w:rsidRPr="00F07BB1" w:rsidRDefault="00932C2C" w:rsidP="00034196">
      <w:pPr>
        <w:rPr>
          <w:rFonts w:ascii="Arial" w:hAnsi="Arial" w:cs="Arial"/>
          <w:i/>
          <w:sz w:val="24"/>
          <w:szCs w:val="24"/>
          <w:lang w:val="bs-Latn-BA"/>
        </w:rPr>
      </w:pPr>
      <w:r w:rsidRPr="00F07BB1">
        <w:rPr>
          <w:rFonts w:ascii="Arial" w:hAnsi="Arial" w:cs="Arial"/>
          <w:i/>
          <w:sz w:val="24"/>
          <w:szCs w:val="24"/>
          <w:lang w:val="bs-Latn-BA"/>
        </w:rPr>
        <w:t>Projekat se sas</w:t>
      </w:r>
      <w:r w:rsidR="00F26574" w:rsidRPr="00F07BB1">
        <w:rPr>
          <w:rFonts w:ascii="Arial" w:hAnsi="Arial" w:cs="Arial"/>
          <w:i/>
          <w:sz w:val="24"/>
          <w:szCs w:val="24"/>
          <w:lang w:val="bs-Latn-BA"/>
        </w:rPr>
        <w:t>toji iz tri</w:t>
      </w:r>
      <w:r w:rsidR="00D83F54" w:rsidRPr="00F07BB1">
        <w:rPr>
          <w:rFonts w:ascii="Arial" w:hAnsi="Arial" w:cs="Arial"/>
          <w:i/>
          <w:sz w:val="24"/>
          <w:szCs w:val="24"/>
          <w:lang w:val="bs-Latn-BA"/>
        </w:rPr>
        <w:t xml:space="preserve"> komponente i to: komponente 1 (robe za hitni oporavak – 27,1 mil KM), komponente 2A (rehabilitacija regionalne infrastrukture – 20,</w:t>
      </w:r>
      <w:r w:rsidR="00F26574" w:rsidRPr="00F07BB1">
        <w:rPr>
          <w:rFonts w:ascii="Arial" w:hAnsi="Arial" w:cs="Arial"/>
          <w:i/>
          <w:sz w:val="24"/>
          <w:szCs w:val="24"/>
          <w:lang w:val="bs-Latn-BA"/>
        </w:rPr>
        <w:t xml:space="preserve">34 mil KM) </w:t>
      </w:r>
      <w:r w:rsidR="00D83F54" w:rsidRPr="00F07BB1">
        <w:rPr>
          <w:rFonts w:ascii="Arial" w:hAnsi="Arial" w:cs="Arial"/>
          <w:i/>
          <w:sz w:val="24"/>
          <w:szCs w:val="24"/>
          <w:lang w:val="bs-Latn-BA"/>
        </w:rPr>
        <w:t xml:space="preserve">komponente 2B (rehabilitacija lokalne infrastrukture </w:t>
      </w:r>
      <w:r w:rsidR="00F26574" w:rsidRPr="00F07BB1">
        <w:rPr>
          <w:rFonts w:ascii="Arial" w:hAnsi="Arial" w:cs="Arial"/>
          <w:i/>
          <w:sz w:val="24"/>
          <w:szCs w:val="24"/>
          <w:lang w:val="bs-Latn-BA"/>
        </w:rPr>
        <w:t>–</w:t>
      </w:r>
      <w:r w:rsidR="00D83F54" w:rsidRPr="00F07BB1">
        <w:rPr>
          <w:rFonts w:ascii="Arial" w:hAnsi="Arial" w:cs="Arial"/>
          <w:i/>
          <w:sz w:val="24"/>
          <w:szCs w:val="24"/>
          <w:lang w:val="bs-Latn-BA"/>
        </w:rPr>
        <w:t xml:space="preserve"> </w:t>
      </w:r>
      <w:r w:rsidR="00F26574" w:rsidRPr="00F07BB1">
        <w:rPr>
          <w:rFonts w:ascii="Arial" w:hAnsi="Arial" w:cs="Arial"/>
          <w:i/>
          <w:sz w:val="24"/>
          <w:szCs w:val="24"/>
          <w:lang w:val="bs-Latn-BA"/>
        </w:rPr>
        <w:t>15,01 mil KM), komponenta 3A (podrška za implementaciju projekta – 1,43 mil KM)</w:t>
      </w:r>
    </w:p>
    <w:p w:rsidR="00F26574" w:rsidRPr="00BA7885" w:rsidRDefault="00F26574" w:rsidP="00F26574">
      <w:pPr>
        <w:pStyle w:val="Number"/>
        <w:numPr>
          <w:ilvl w:val="0"/>
          <w:numId w:val="0"/>
        </w:numPr>
        <w:rPr>
          <w:rFonts w:ascii="Arial" w:hAnsi="Arial" w:cs="Arial"/>
          <w:lang w:val="hr-BA"/>
        </w:rPr>
      </w:pPr>
      <w:r w:rsidRPr="00BA7885">
        <w:rPr>
          <w:rFonts w:ascii="Arial" w:hAnsi="Arial" w:cs="Arial"/>
          <w:lang w:val="hr-BA"/>
        </w:rPr>
        <w:t xml:space="preserve">Projekt se sastoji od tri komponente: </w:t>
      </w:r>
    </w:p>
    <w:p w:rsidR="00F26574" w:rsidRPr="00DF270C" w:rsidRDefault="00F26574" w:rsidP="00F26574">
      <w:pPr>
        <w:autoSpaceDE w:val="0"/>
        <w:autoSpaceDN w:val="0"/>
        <w:adjustRightInd w:val="0"/>
        <w:rPr>
          <w:rFonts w:ascii="Arial" w:hAnsi="Arial" w:cs="Arial"/>
          <w:b/>
          <w:bCs/>
          <w:color w:val="000000"/>
        </w:rPr>
      </w:pPr>
      <w:r w:rsidRPr="005A5895">
        <w:rPr>
          <w:rFonts w:ascii="Arial" w:hAnsi="Arial" w:cs="Arial"/>
          <w:b/>
          <w:bCs/>
          <w:color w:val="000000"/>
        </w:rPr>
        <w:t xml:space="preserve">KOMPONENTA 1: ROBE ZA HITNI OPORAVAK OD KATASTROFE </w:t>
      </w:r>
    </w:p>
    <w:p w:rsidR="00F26574" w:rsidRDefault="00F26574" w:rsidP="00F26574">
      <w:pPr>
        <w:pStyle w:val="BankNormal"/>
        <w:numPr>
          <w:ilvl w:val="0"/>
          <w:numId w:val="4"/>
        </w:numPr>
        <w:ind w:left="284" w:hanging="284"/>
        <w:jc w:val="both"/>
        <w:rPr>
          <w:rFonts w:ascii="Arial" w:eastAsiaTheme="minorHAnsi" w:hAnsi="Arial" w:cs="Arial"/>
          <w:color w:val="000000"/>
          <w:szCs w:val="24"/>
          <w:lang w:val="bs-Latn-BA"/>
        </w:rPr>
      </w:pPr>
      <w:r w:rsidRPr="00E9408D">
        <w:rPr>
          <w:rFonts w:ascii="Arial" w:eastAsiaTheme="minorHAnsi" w:hAnsi="Arial" w:cs="Arial"/>
          <w:b/>
          <w:bCs/>
          <w:color w:val="000000"/>
          <w:szCs w:val="24"/>
          <w:lang w:val="bs-Latn-BA"/>
        </w:rPr>
        <w:t xml:space="preserve">Status i predviđeni obim. </w:t>
      </w:r>
      <w:r w:rsidRPr="00E9408D">
        <w:rPr>
          <w:rFonts w:ascii="Arial" w:eastAsiaTheme="minorHAnsi" w:hAnsi="Arial" w:cs="Arial"/>
          <w:color w:val="000000"/>
          <w:szCs w:val="24"/>
          <w:lang w:val="bs-Latn-BA"/>
        </w:rPr>
        <w:t>Oba entiteta su potvrdila svoju osnovnu namjeru da koriste Komponentu 1 za nabavku hitnih roba i roba za rekonstrukciju, kao i za podršku poljoprivrednom sektoru. Iako će prioritet biti korištenje ovih sredstava za nabavke koje su već provedene ili planirane, nužno je jasno odrediti koliko će pribiližno sredstava biti raspoređeno na ovu kategoriju; te koji su prioriteti za angažman dodatnih sredstava.  Budući da su za Komponentu 1 planirana sredstva u iznosu do 40% ukupnog kredita ili 40,0 mil USD, Federaciji BiH će u okviru ove komponente imati na raspolaganju  19,0 mil USD što približno iznosi cca. 27,1 mil KM. Prema preliminarnim informacijama Federacija BiH bi mogla pravdati izvršene nabavke u iznosu cca. 8,0  mil KM, a ova sredstva bi se (kao retroaktivno finansiranje) mogla povuči na JRT kao podršku tekućem budžetu</w:t>
      </w:r>
      <w:r>
        <w:rPr>
          <w:rFonts w:ascii="Arial" w:eastAsiaTheme="minorHAnsi" w:hAnsi="Arial" w:cs="Arial"/>
          <w:color w:val="000000"/>
          <w:szCs w:val="24"/>
          <w:lang w:val="bs-Latn-BA"/>
        </w:rPr>
        <w:t>, dok bi se ostatak sredstava u iznosu cca. 19,1 mil KM mogao iskoristiti za nabavku hitnih roba.</w:t>
      </w:r>
    </w:p>
    <w:p w:rsidR="00F26574" w:rsidRDefault="00F26574" w:rsidP="00F26574">
      <w:pPr>
        <w:pStyle w:val="BankNormal"/>
        <w:ind w:left="284"/>
        <w:jc w:val="both"/>
        <w:rPr>
          <w:rFonts w:ascii="Arial" w:eastAsiaTheme="minorHAnsi" w:hAnsi="Arial" w:cs="Arial"/>
          <w:bCs/>
          <w:color w:val="000000"/>
          <w:szCs w:val="24"/>
          <w:lang w:val="bs-Latn-BA"/>
        </w:rPr>
      </w:pPr>
      <w:r w:rsidRPr="00E9408D">
        <w:rPr>
          <w:rFonts w:ascii="Arial" w:eastAsiaTheme="minorHAnsi" w:hAnsi="Arial" w:cs="Arial"/>
          <w:bCs/>
          <w:color w:val="000000"/>
          <w:szCs w:val="24"/>
          <w:lang w:val="bs-Latn-BA"/>
        </w:rPr>
        <w:lastRenderedPageBreak/>
        <w:t xml:space="preserve">Ukoliko </w:t>
      </w:r>
      <w:r>
        <w:rPr>
          <w:rFonts w:ascii="Arial" w:eastAsiaTheme="minorHAnsi" w:hAnsi="Arial" w:cs="Arial"/>
          <w:bCs/>
          <w:color w:val="000000"/>
          <w:szCs w:val="24"/>
          <w:lang w:val="bs-Latn-BA"/>
        </w:rPr>
        <w:t>bi Vlada Federacije BiH ovu mogućnost iskoristila za nabavku onih roba za čiju su nabavku planirana sredstva u tekućem budžetu, odnosno Budžetu Federacije BiH za 2014. godinu, budžet bi se mogao relaksirati za dodatnih 19,1 mil KM. Naime, ukoliko bi se izvršila nabavka određenih roba i njihovo plaćanje izvršilo iz kreditih sredstava, sredstava planirana u budžetu bi se mogla reducirati  ili preraspodjeliti na druge pozicije, odnosno na ovaj način  bi se mogle ostvariti uštede u budžetu u ekvivalentnom iznosu.</w:t>
      </w:r>
    </w:p>
    <w:p w:rsidR="00F26574" w:rsidRDefault="00F26574" w:rsidP="00F26574">
      <w:pPr>
        <w:pStyle w:val="BankNormal"/>
        <w:ind w:left="284"/>
        <w:jc w:val="both"/>
        <w:rPr>
          <w:rFonts w:ascii="Arial" w:eastAsiaTheme="minorHAnsi" w:hAnsi="Arial" w:cs="Arial"/>
          <w:bCs/>
          <w:color w:val="000000"/>
          <w:szCs w:val="24"/>
          <w:lang w:val="bs-Latn-BA"/>
        </w:rPr>
      </w:pPr>
      <w:r>
        <w:rPr>
          <w:rFonts w:ascii="Arial" w:eastAsiaTheme="minorHAnsi" w:hAnsi="Arial" w:cs="Arial"/>
          <w:bCs/>
          <w:color w:val="000000"/>
          <w:szCs w:val="24"/>
          <w:lang w:val="bs-Latn-BA"/>
        </w:rPr>
        <w:t>U Budžetu Federacije BiH za 2014. godinu planirani su transferi:</w:t>
      </w:r>
    </w:p>
    <w:p w:rsidR="00F26574" w:rsidRPr="00E9408D" w:rsidRDefault="00F26574" w:rsidP="00F26574">
      <w:pPr>
        <w:pStyle w:val="BankNormal"/>
        <w:numPr>
          <w:ilvl w:val="0"/>
          <w:numId w:val="5"/>
        </w:numPr>
        <w:jc w:val="both"/>
        <w:rPr>
          <w:rFonts w:ascii="Arial" w:eastAsiaTheme="minorHAnsi" w:hAnsi="Arial" w:cs="Arial"/>
          <w:bCs/>
          <w:color w:val="000000"/>
          <w:szCs w:val="24"/>
          <w:lang w:val="bs-Latn-BA"/>
        </w:rPr>
      </w:pPr>
      <w:r>
        <w:rPr>
          <w:rFonts w:ascii="Arial" w:eastAsiaTheme="minorHAnsi" w:hAnsi="Arial" w:cs="Arial"/>
          <w:bCs/>
          <w:color w:val="000000"/>
          <w:szCs w:val="24"/>
          <w:lang w:val="bs-Latn-BA"/>
        </w:rPr>
        <w:t>Na poziciji Federalnog ministarstva raseljenih osoba i izbjeglica:</w:t>
      </w:r>
    </w:p>
    <w:p w:rsidR="00F26574" w:rsidRPr="00AF0DF0" w:rsidRDefault="00F26574" w:rsidP="00F26574">
      <w:pPr>
        <w:pStyle w:val="ListParagraph"/>
        <w:numPr>
          <w:ilvl w:val="0"/>
          <w:numId w:val="3"/>
        </w:numPr>
        <w:spacing w:after="0" w:line="240" w:lineRule="auto"/>
        <w:contextualSpacing w:val="0"/>
        <w:rPr>
          <w:rFonts w:ascii="Arial" w:hAnsi="Arial" w:cs="Arial"/>
        </w:rPr>
      </w:pPr>
      <w:r w:rsidRPr="00AF0DF0">
        <w:rPr>
          <w:rFonts w:ascii="Arial" w:hAnsi="Arial" w:cs="Arial"/>
        </w:rPr>
        <w:t>6142 Tekući transferi pojedincima – Podrška povratku izbjeglica i  prognanih osoba sa područja Posavine iz RS</w:t>
      </w:r>
      <w:r>
        <w:rPr>
          <w:rFonts w:ascii="Arial" w:hAnsi="Arial" w:cs="Arial"/>
        </w:rPr>
        <w:t xml:space="preserve"> </w:t>
      </w:r>
      <w:r w:rsidRPr="00AF0DF0">
        <w:rPr>
          <w:rFonts w:ascii="Arial" w:hAnsi="Arial" w:cs="Arial"/>
        </w:rPr>
        <w:t>u iznosu od  2.000.000 KM;</w:t>
      </w:r>
    </w:p>
    <w:p w:rsidR="00F26574" w:rsidRPr="00AF0DF0" w:rsidRDefault="00F26574" w:rsidP="00F26574">
      <w:pPr>
        <w:pStyle w:val="ListParagraph"/>
        <w:numPr>
          <w:ilvl w:val="0"/>
          <w:numId w:val="3"/>
        </w:numPr>
        <w:spacing w:after="0" w:line="240" w:lineRule="auto"/>
        <w:contextualSpacing w:val="0"/>
        <w:rPr>
          <w:rFonts w:ascii="Arial" w:hAnsi="Arial" w:cs="Arial"/>
        </w:rPr>
      </w:pPr>
      <w:r w:rsidRPr="00AF0DF0">
        <w:rPr>
          <w:rFonts w:ascii="Arial" w:hAnsi="Arial" w:cs="Arial"/>
        </w:rPr>
        <w:t>6142 Tekući transferi pojedincima - Transfer za raseljena lica i povratnike u iznosu od  18.678.000 KM;</w:t>
      </w:r>
    </w:p>
    <w:p w:rsidR="00F26574" w:rsidRPr="00AF0DF0" w:rsidRDefault="00F26574" w:rsidP="00F26574">
      <w:pPr>
        <w:pStyle w:val="ListParagraph"/>
        <w:numPr>
          <w:ilvl w:val="0"/>
          <w:numId w:val="3"/>
        </w:numPr>
        <w:spacing w:after="0" w:line="240" w:lineRule="auto"/>
        <w:contextualSpacing w:val="0"/>
        <w:rPr>
          <w:rFonts w:ascii="Arial" w:hAnsi="Arial" w:cs="Arial"/>
        </w:rPr>
      </w:pPr>
      <w:r w:rsidRPr="00AF0DF0">
        <w:rPr>
          <w:rFonts w:ascii="Arial" w:hAnsi="Arial" w:cs="Arial"/>
        </w:rPr>
        <w:t xml:space="preserve">6142 Tekući transferi pojedincima - Tekući transfer za programe razvoja održivosti povratka u RS  u iznosu od 2.560.000 KM; </w:t>
      </w:r>
    </w:p>
    <w:p w:rsidR="00F26574" w:rsidRPr="00AF0DF0" w:rsidRDefault="00F26574" w:rsidP="00F26574">
      <w:pPr>
        <w:pStyle w:val="ListParagraph"/>
        <w:numPr>
          <w:ilvl w:val="0"/>
          <w:numId w:val="3"/>
        </w:numPr>
        <w:spacing w:after="0" w:line="240" w:lineRule="auto"/>
        <w:contextualSpacing w:val="0"/>
        <w:rPr>
          <w:rFonts w:ascii="Arial" w:hAnsi="Arial" w:cs="Arial"/>
        </w:rPr>
      </w:pPr>
      <w:r w:rsidRPr="00AF0DF0">
        <w:rPr>
          <w:rFonts w:ascii="Arial" w:hAnsi="Arial" w:cs="Arial"/>
        </w:rPr>
        <w:t>6151 Kapitalni transferi drugim nivoima vlasti – Podrška implementaciji održivom povratku izbjeglih i prognanih lica sa područja regije Srebrenica  u iznosu od   1.485.000</w:t>
      </w:r>
      <w:r>
        <w:rPr>
          <w:rFonts w:ascii="Arial" w:hAnsi="Arial" w:cs="Arial"/>
        </w:rPr>
        <w:t xml:space="preserve"> KM.</w:t>
      </w:r>
    </w:p>
    <w:p w:rsidR="00F26574" w:rsidRPr="00AF0DF0" w:rsidRDefault="00F26574" w:rsidP="00F26574">
      <w:pPr>
        <w:pStyle w:val="ListParagraph"/>
        <w:rPr>
          <w:rFonts w:ascii="Arial" w:hAnsi="Arial" w:cs="Arial"/>
        </w:rPr>
      </w:pPr>
    </w:p>
    <w:p w:rsidR="00F26574" w:rsidRDefault="00F26574" w:rsidP="00F26574">
      <w:pPr>
        <w:pStyle w:val="ListParagraph"/>
        <w:numPr>
          <w:ilvl w:val="0"/>
          <w:numId w:val="5"/>
        </w:numPr>
        <w:spacing w:after="0" w:line="240" w:lineRule="auto"/>
        <w:contextualSpacing w:val="0"/>
        <w:rPr>
          <w:rFonts w:ascii="Arial" w:hAnsi="Arial" w:cs="Arial"/>
        </w:rPr>
      </w:pPr>
      <w:r>
        <w:rPr>
          <w:rFonts w:ascii="Arial" w:hAnsi="Arial" w:cs="Arial"/>
        </w:rPr>
        <w:t>Na poziciji Federalne direkcije za robne reserve:</w:t>
      </w:r>
    </w:p>
    <w:p w:rsidR="00F26574" w:rsidRPr="00AF0DF0" w:rsidRDefault="00F26574" w:rsidP="00F26574">
      <w:pPr>
        <w:pStyle w:val="ListParagraph"/>
        <w:numPr>
          <w:ilvl w:val="0"/>
          <w:numId w:val="3"/>
        </w:numPr>
        <w:spacing w:after="0" w:line="240" w:lineRule="auto"/>
        <w:contextualSpacing w:val="0"/>
        <w:rPr>
          <w:rFonts w:ascii="Arial" w:hAnsi="Arial" w:cs="Arial"/>
        </w:rPr>
      </w:pPr>
      <w:r w:rsidRPr="00AF0DF0">
        <w:rPr>
          <w:rFonts w:ascii="Arial" w:hAnsi="Arial" w:cs="Arial"/>
        </w:rPr>
        <w:t>8214 Nabavka</w:t>
      </w:r>
      <w:r>
        <w:rPr>
          <w:rFonts w:ascii="Arial" w:hAnsi="Arial" w:cs="Arial"/>
        </w:rPr>
        <w:t xml:space="preserve"> </w:t>
      </w:r>
      <w:r w:rsidRPr="00AF0DF0">
        <w:rPr>
          <w:rFonts w:ascii="Arial" w:hAnsi="Arial" w:cs="Arial"/>
        </w:rPr>
        <w:t>ostalih</w:t>
      </w:r>
      <w:r>
        <w:rPr>
          <w:rFonts w:ascii="Arial" w:hAnsi="Arial" w:cs="Arial"/>
        </w:rPr>
        <w:t xml:space="preserve"> </w:t>
      </w:r>
      <w:r w:rsidRPr="00AF0DF0">
        <w:rPr>
          <w:rFonts w:ascii="Arial" w:hAnsi="Arial" w:cs="Arial"/>
        </w:rPr>
        <w:t>stalnih</w:t>
      </w:r>
      <w:r>
        <w:rPr>
          <w:rFonts w:ascii="Arial" w:hAnsi="Arial" w:cs="Arial"/>
        </w:rPr>
        <w:t xml:space="preserve"> </w:t>
      </w:r>
      <w:r w:rsidRPr="00AF0DF0">
        <w:rPr>
          <w:rFonts w:ascii="Arial" w:hAnsi="Arial" w:cs="Arial"/>
        </w:rPr>
        <w:t xml:space="preserve">sredstava </w:t>
      </w:r>
      <w:r>
        <w:rPr>
          <w:rFonts w:ascii="Arial" w:hAnsi="Arial" w:cs="Arial"/>
        </w:rPr>
        <w:t>–</w:t>
      </w:r>
      <w:r w:rsidRPr="00AF0DF0">
        <w:rPr>
          <w:rFonts w:ascii="Arial" w:hAnsi="Arial" w:cs="Arial"/>
        </w:rPr>
        <w:t xml:space="preserve"> </w:t>
      </w:r>
      <w:r>
        <w:rPr>
          <w:rFonts w:ascii="Arial" w:hAnsi="Arial" w:cs="Arial"/>
        </w:rPr>
        <w:t>n</w:t>
      </w:r>
      <w:r w:rsidRPr="00AF0DF0">
        <w:rPr>
          <w:rFonts w:ascii="Arial" w:hAnsi="Arial" w:cs="Arial"/>
        </w:rPr>
        <w:t>abavka</w:t>
      </w:r>
      <w:r>
        <w:rPr>
          <w:rFonts w:ascii="Arial" w:hAnsi="Arial" w:cs="Arial"/>
        </w:rPr>
        <w:t xml:space="preserve"> </w:t>
      </w:r>
      <w:r w:rsidRPr="00AF0DF0">
        <w:rPr>
          <w:rFonts w:ascii="Arial" w:hAnsi="Arial" w:cs="Arial"/>
        </w:rPr>
        <w:t>robnih</w:t>
      </w:r>
      <w:r>
        <w:rPr>
          <w:rFonts w:ascii="Arial" w:hAnsi="Arial" w:cs="Arial"/>
        </w:rPr>
        <w:t xml:space="preserve"> </w:t>
      </w:r>
      <w:r w:rsidRPr="00AF0DF0">
        <w:rPr>
          <w:rFonts w:ascii="Arial" w:hAnsi="Arial" w:cs="Arial"/>
        </w:rPr>
        <w:t>rezervi </w:t>
      </w:r>
      <w:r>
        <w:rPr>
          <w:rFonts w:ascii="Arial" w:hAnsi="Arial" w:cs="Arial"/>
        </w:rPr>
        <w:t xml:space="preserve">u iznosu od </w:t>
      </w:r>
      <w:r w:rsidRPr="00AF0DF0">
        <w:rPr>
          <w:rFonts w:ascii="Arial" w:hAnsi="Arial" w:cs="Arial"/>
        </w:rPr>
        <w:t xml:space="preserve"> 2.750.000</w:t>
      </w:r>
      <w:r>
        <w:rPr>
          <w:rFonts w:ascii="Arial" w:hAnsi="Arial" w:cs="Arial"/>
        </w:rPr>
        <w:t xml:space="preserve"> KM;</w:t>
      </w:r>
    </w:p>
    <w:p w:rsidR="00F26574" w:rsidRDefault="00F26574" w:rsidP="00F26574">
      <w:pPr>
        <w:pStyle w:val="ListParagraph"/>
        <w:rPr>
          <w:rFonts w:ascii="Arial" w:hAnsi="Arial" w:cs="Arial"/>
        </w:rPr>
      </w:pPr>
    </w:p>
    <w:p w:rsidR="00F26574" w:rsidRDefault="00F26574" w:rsidP="00F26574">
      <w:pPr>
        <w:pStyle w:val="ListParagraph"/>
        <w:numPr>
          <w:ilvl w:val="0"/>
          <w:numId w:val="5"/>
        </w:numPr>
        <w:spacing w:after="0" w:line="240" w:lineRule="auto"/>
        <w:contextualSpacing w:val="0"/>
        <w:rPr>
          <w:rFonts w:ascii="Arial" w:hAnsi="Arial" w:cs="Arial"/>
        </w:rPr>
      </w:pPr>
      <w:r>
        <w:rPr>
          <w:rFonts w:ascii="Arial" w:hAnsi="Arial" w:cs="Arial"/>
        </w:rPr>
        <w:t>Na poziciji Federalnog ministarstva poljoprivrede, vodoprivrede i šumarstva:</w:t>
      </w:r>
    </w:p>
    <w:p w:rsidR="00F26574" w:rsidRPr="00AF0DF0" w:rsidRDefault="00F26574" w:rsidP="00F26574">
      <w:pPr>
        <w:pStyle w:val="ListParagraph"/>
        <w:ind w:left="644"/>
        <w:rPr>
          <w:rFonts w:ascii="Arial" w:hAnsi="Arial" w:cs="Arial"/>
        </w:rPr>
      </w:pPr>
      <w:r w:rsidRPr="00AF0DF0">
        <w:rPr>
          <w:rFonts w:ascii="Arial" w:hAnsi="Arial" w:cs="Arial"/>
        </w:rPr>
        <w:t xml:space="preserve"> </w:t>
      </w:r>
    </w:p>
    <w:p w:rsidR="00F26574" w:rsidRPr="00AF0DF0" w:rsidRDefault="00F26574" w:rsidP="00F26574">
      <w:pPr>
        <w:pStyle w:val="ListParagraph"/>
        <w:numPr>
          <w:ilvl w:val="0"/>
          <w:numId w:val="3"/>
        </w:numPr>
        <w:spacing w:after="0" w:line="240" w:lineRule="auto"/>
        <w:contextualSpacing w:val="0"/>
        <w:rPr>
          <w:rFonts w:ascii="Arial" w:hAnsi="Arial" w:cs="Arial"/>
        </w:rPr>
      </w:pPr>
      <w:r w:rsidRPr="00AF0DF0">
        <w:rPr>
          <w:rFonts w:ascii="Arial" w:hAnsi="Arial" w:cs="Arial"/>
        </w:rPr>
        <w:t>6144 Subvencije</w:t>
      </w:r>
      <w:r>
        <w:rPr>
          <w:rFonts w:ascii="Arial" w:hAnsi="Arial" w:cs="Arial"/>
        </w:rPr>
        <w:t xml:space="preserve"> </w:t>
      </w:r>
      <w:r w:rsidRPr="00AF0DF0">
        <w:rPr>
          <w:rFonts w:ascii="Arial" w:hAnsi="Arial" w:cs="Arial"/>
        </w:rPr>
        <w:t>javnim</w:t>
      </w:r>
      <w:r>
        <w:rPr>
          <w:rFonts w:ascii="Arial" w:hAnsi="Arial" w:cs="Arial"/>
        </w:rPr>
        <w:t xml:space="preserve"> </w:t>
      </w:r>
      <w:r w:rsidRPr="00AF0DF0">
        <w:rPr>
          <w:rFonts w:ascii="Arial" w:hAnsi="Arial" w:cs="Arial"/>
        </w:rPr>
        <w:t>preduzećima – Podsticaj</w:t>
      </w:r>
      <w:r>
        <w:rPr>
          <w:rFonts w:ascii="Arial" w:hAnsi="Arial" w:cs="Arial"/>
        </w:rPr>
        <w:t xml:space="preserve"> </w:t>
      </w:r>
      <w:r w:rsidRPr="00AF0DF0">
        <w:rPr>
          <w:rFonts w:ascii="Arial" w:hAnsi="Arial" w:cs="Arial"/>
        </w:rPr>
        <w:t>za</w:t>
      </w:r>
      <w:r>
        <w:rPr>
          <w:rFonts w:ascii="Arial" w:hAnsi="Arial" w:cs="Arial"/>
        </w:rPr>
        <w:t xml:space="preserve"> </w:t>
      </w:r>
      <w:r w:rsidRPr="00AF0DF0">
        <w:rPr>
          <w:rFonts w:ascii="Arial" w:hAnsi="Arial" w:cs="Arial"/>
        </w:rPr>
        <w:t>polj</w:t>
      </w:r>
      <w:r>
        <w:rPr>
          <w:rFonts w:ascii="Arial" w:hAnsi="Arial" w:cs="Arial"/>
        </w:rPr>
        <w:t>oprivredu u ukupnom iznosu  65.800.000 KM, od čega je Programom utroška ovih sredstava kao pomoć područjima pogođenim  poplavama planirano 3.225.250 KM.</w:t>
      </w:r>
    </w:p>
    <w:p w:rsidR="00F26574" w:rsidRPr="00AF0DF0" w:rsidRDefault="00F26574" w:rsidP="00F26574">
      <w:pPr>
        <w:pStyle w:val="BankNormal"/>
        <w:ind w:left="284"/>
        <w:jc w:val="both"/>
        <w:rPr>
          <w:rFonts w:ascii="Arial" w:eastAsiaTheme="minorHAnsi" w:hAnsi="Arial" w:cs="Arial"/>
          <w:color w:val="000000"/>
          <w:szCs w:val="24"/>
          <w:lang w:val="bs-Latn-BA"/>
        </w:rPr>
      </w:pPr>
    </w:p>
    <w:p w:rsidR="00F26574" w:rsidRDefault="00F26574" w:rsidP="00F26574">
      <w:pPr>
        <w:pStyle w:val="BankNormal"/>
        <w:jc w:val="both"/>
        <w:rPr>
          <w:rFonts w:ascii="Arial" w:hAnsi="Arial" w:cs="Arial"/>
          <w:szCs w:val="24"/>
          <w:lang w:val="hr-BA"/>
        </w:rPr>
      </w:pPr>
      <w:r>
        <w:rPr>
          <w:rFonts w:ascii="Arial" w:hAnsi="Arial" w:cs="Arial"/>
          <w:szCs w:val="24"/>
          <w:lang w:val="hr-BA"/>
        </w:rPr>
        <w:t xml:space="preserve">Pored navedenog, u okviru ovog projekta mogla bi se izvršiti nabavka urgentnih roba i opreme za potrebe Federalne uprave civilne zaštite. </w:t>
      </w:r>
    </w:p>
    <w:p w:rsidR="00F26574" w:rsidRDefault="00F26574" w:rsidP="00F26574">
      <w:pPr>
        <w:pStyle w:val="BankNormal"/>
        <w:jc w:val="both"/>
        <w:rPr>
          <w:rFonts w:ascii="Arial" w:hAnsi="Arial" w:cs="Arial"/>
          <w:szCs w:val="24"/>
          <w:lang w:val="hr-BA"/>
        </w:rPr>
      </w:pPr>
      <w:r>
        <w:rPr>
          <w:rFonts w:ascii="Arial" w:hAnsi="Arial" w:cs="Arial"/>
          <w:szCs w:val="24"/>
          <w:lang w:val="hr-BA"/>
        </w:rPr>
        <w:t xml:space="preserve">Slijedom navedenog korištenje sredstava iz Komponente 1 može se predstaviti na sljedeći način:  </w:t>
      </w:r>
    </w:p>
    <w:tbl>
      <w:tblPr>
        <w:tblpPr w:leftFromText="180" w:rightFromText="180" w:vertAnchor="text" w:horzAnchor="margin" w:tblpX="108" w:tblpY="182"/>
        <w:tblW w:w="8756" w:type="dxa"/>
        <w:tblLook w:val="04A0" w:firstRow="1" w:lastRow="0" w:firstColumn="1" w:lastColumn="0" w:noHBand="0" w:noVBand="1"/>
      </w:tblPr>
      <w:tblGrid>
        <w:gridCol w:w="3794"/>
        <w:gridCol w:w="1984"/>
        <w:gridCol w:w="426"/>
        <w:gridCol w:w="2552"/>
      </w:tblGrid>
      <w:tr w:rsidR="00F26574" w:rsidRPr="00307D27" w:rsidTr="000B3CB9">
        <w:trPr>
          <w:trHeight w:val="300"/>
        </w:trPr>
        <w:tc>
          <w:tcPr>
            <w:tcW w:w="3794" w:type="dxa"/>
            <w:shd w:val="clear" w:color="auto" w:fill="auto"/>
            <w:noWrap/>
            <w:vAlign w:val="bottom"/>
            <w:hideMark/>
          </w:tcPr>
          <w:p w:rsidR="00F26574" w:rsidRPr="00307D27" w:rsidRDefault="00F26574" w:rsidP="000B3CB9">
            <w:pPr>
              <w:rPr>
                <w:rFonts w:ascii="Arial" w:hAnsi="Arial" w:cs="Arial"/>
                <w:b/>
                <w:bCs/>
                <w:color w:val="000000"/>
              </w:rPr>
            </w:pPr>
            <w:proofErr w:type="spellStart"/>
            <w:r w:rsidRPr="00307D27">
              <w:rPr>
                <w:rFonts w:ascii="Arial" w:hAnsi="Arial" w:cs="Arial"/>
                <w:b/>
                <w:bCs/>
                <w:color w:val="000000"/>
              </w:rPr>
              <w:t>Iznos</w:t>
            </w:r>
            <w:proofErr w:type="spellEnd"/>
            <w:r w:rsidRPr="00307D27">
              <w:rPr>
                <w:rFonts w:ascii="Arial" w:hAnsi="Arial" w:cs="Arial"/>
                <w:b/>
                <w:bCs/>
                <w:color w:val="000000"/>
              </w:rPr>
              <w:t xml:space="preserve"> </w:t>
            </w:r>
            <w:proofErr w:type="spellStart"/>
            <w:r w:rsidRPr="00307D27">
              <w:rPr>
                <w:rFonts w:ascii="Arial" w:hAnsi="Arial" w:cs="Arial"/>
                <w:b/>
                <w:bCs/>
                <w:color w:val="000000"/>
              </w:rPr>
              <w:t>kredita</w:t>
            </w:r>
            <w:proofErr w:type="spellEnd"/>
            <w:r w:rsidRPr="00307D27">
              <w:rPr>
                <w:rFonts w:ascii="Arial" w:hAnsi="Arial" w:cs="Arial"/>
                <w:b/>
                <w:bCs/>
                <w:color w:val="000000"/>
              </w:rPr>
              <w:t xml:space="preserve"> </w:t>
            </w:r>
            <w:proofErr w:type="spellStart"/>
            <w:r w:rsidRPr="00307D27">
              <w:rPr>
                <w:rFonts w:ascii="Arial" w:hAnsi="Arial" w:cs="Arial"/>
                <w:b/>
                <w:bCs/>
                <w:color w:val="000000"/>
              </w:rPr>
              <w:t>za</w:t>
            </w:r>
            <w:proofErr w:type="spellEnd"/>
            <w:r w:rsidRPr="00307D27">
              <w:rPr>
                <w:rFonts w:ascii="Arial" w:hAnsi="Arial" w:cs="Arial"/>
                <w:b/>
                <w:bCs/>
                <w:color w:val="000000"/>
              </w:rPr>
              <w:t xml:space="preserve"> </w:t>
            </w:r>
            <w:proofErr w:type="spellStart"/>
            <w:r w:rsidRPr="00307D27">
              <w:rPr>
                <w:rFonts w:ascii="Arial" w:hAnsi="Arial" w:cs="Arial"/>
                <w:b/>
                <w:bCs/>
                <w:color w:val="000000"/>
              </w:rPr>
              <w:t>Federaciju</w:t>
            </w:r>
            <w:proofErr w:type="spellEnd"/>
            <w:r w:rsidRPr="00307D27">
              <w:rPr>
                <w:rFonts w:ascii="Arial" w:hAnsi="Arial" w:cs="Arial"/>
                <w:b/>
                <w:bCs/>
                <w:color w:val="000000"/>
              </w:rPr>
              <w:t xml:space="preserve"> BiH </w:t>
            </w:r>
          </w:p>
        </w:tc>
        <w:tc>
          <w:tcPr>
            <w:tcW w:w="2410" w:type="dxa"/>
            <w:gridSpan w:val="2"/>
            <w:shd w:val="clear" w:color="auto" w:fill="auto"/>
            <w:noWrap/>
            <w:vAlign w:val="bottom"/>
            <w:hideMark/>
          </w:tcPr>
          <w:p w:rsidR="00F26574" w:rsidRPr="00307D27" w:rsidRDefault="00F26574" w:rsidP="000B3CB9">
            <w:pPr>
              <w:jc w:val="right"/>
              <w:rPr>
                <w:rFonts w:ascii="Arial" w:hAnsi="Arial" w:cs="Arial"/>
                <w:b/>
                <w:bCs/>
                <w:color w:val="000000"/>
              </w:rPr>
            </w:pPr>
            <w:r w:rsidRPr="00307D27">
              <w:rPr>
                <w:rFonts w:ascii="Arial" w:hAnsi="Arial" w:cs="Arial"/>
                <w:b/>
                <w:bCs/>
                <w:color w:val="000000"/>
              </w:rPr>
              <w:t>47.500.000,00 USD</w:t>
            </w:r>
          </w:p>
        </w:tc>
        <w:tc>
          <w:tcPr>
            <w:tcW w:w="2552" w:type="dxa"/>
            <w:shd w:val="clear" w:color="auto" w:fill="auto"/>
            <w:noWrap/>
            <w:vAlign w:val="bottom"/>
            <w:hideMark/>
          </w:tcPr>
          <w:p w:rsidR="00F26574" w:rsidRPr="00307D27" w:rsidRDefault="00F26574" w:rsidP="000B3CB9">
            <w:pPr>
              <w:rPr>
                <w:rFonts w:ascii="Arial" w:hAnsi="Arial" w:cs="Arial"/>
                <w:b/>
                <w:bCs/>
                <w:color w:val="000000"/>
              </w:rPr>
            </w:pPr>
            <w:r w:rsidRPr="00307D27">
              <w:rPr>
                <w:rFonts w:ascii="Arial" w:hAnsi="Arial" w:cs="Arial"/>
                <w:b/>
                <w:bCs/>
                <w:color w:val="000000"/>
              </w:rPr>
              <w:t xml:space="preserve">   67.871.087,50 KM </w:t>
            </w:r>
          </w:p>
        </w:tc>
      </w:tr>
      <w:tr w:rsidR="00F26574" w:rsidRPr="00307D27" w:rsidTr="000B3CB9">
        <w:trPr>
          <w:trHeight w:val="300"/>
        </w:trPr>
        <w:tc>
          <w:tcPr>
            <w:tcW w:w="3794" w:type="dxa"/>
            <w:shd w:val="clear" w:color="auto" w:fill="auto"/>
            <w:noWrap/>
            <w:vAlign w:val="bottom"/>
            <w:hideMark/>
          </w:tcPr>
          <w:p w:rsidR="00F26574" w:rsidRPr="00307D27" w:rsidRDefault="00F26574" w:rsidP="000B3CB9">
            <w:pPr>
              <w:rPr>
                <w:rFonts w:ascii="Arial" w:hAnsi="Arial" w:cs="Arial"/>
                <w:b/>
                <w:bCs/>
                <w:color w:val="000000"/>
              </w:rPr>
            </w:pPr>
            <w:proofErr w:type="spellStart"/>
            <w:r w:rsidRPr="00307D27">
              <w:rPr>
                <w:rFonts w:ascii="Arial" w:hAnsi="Arial" w:cs="Arial"/>
                <w:b/>
                <w:bCs/>
                <w:color w:val="000000"/>
              </w:rPr>
              <w:t>Komponenta</w:t>
            </w:r>
            <w:proofErr w:type="spellEnd"/>
            <w:r w:rsidRPr="00307D27">
              <w:rPr>
                <w:rFonts w:ascii="Arial" w:hAnsi="Arial" w:cs="Arial"/>
                <w:b/>
                <w:bCs/>
                <w:color w:val="000000"/>
              </w:rPr>
              <w:t xml:space="preserve"> 1</w:t>
            </w:r>
          </w:p>
        </w:tc>
        <w:tc>
          <w:tcPr>
            <w:tcW w:w="2410" w:type="dxa"/>
            <w:gridSpan w:val="2"/>
            <w:shd w:val="clear" w:color="auto" w:fill="auto"/>
            <w:noWrap/>
            <w:vAlign w:val="bottom"/>
            <w:hideMark/>
          </w:tcPr>
          <w:p w:rsidR="00F26574" w:rsidRPr="00307D27" w:rsidRDefault="00F26574" w:rsidP="000B3CB9">
            <w:pPr>
              <w:jc w:val="right"/>
              <w:rPr>
                <w:rFonts w:ascii="Arial" w:hAnsi="Arial" w:cs="Arial"/>
                <w:b/>
                <w:bCs/>
                <w:color w:val="000000"/>
              </w:rPr>
            </w:pPr>
            <w:r w:rsidRPr="00307D27">
              <w:rPr>
                <w:rFonts w:ascii="Arial" w:hAnsi="Arial" w:cs="Arial"/>
                <w:b/>
                <w:bCs/>
                <w:color w:val="000000"/>
              </w:rPr>
              <w:t>19.000.000,00 USD</w:t>
            </w:r>
          </w:p>
        </w:tc>
        <w:tc>
          <w:tcPr>
            <w:tcW w:w="2552" w:type="dxa"/>
            <w:shd w:val="clear" w:color="auto" w:fill="auto"/>
            <w:noWrap/>
            <w:vAlign w:val="bottom"/>
            <w:hideMark/>
          </w:tcPr>
          <w:p w:rsidR="00F26574" w:rsidRPr="00307D27" w:rsidRDefault="00F26574" w:rsidP="000B3CB9">
            <w:pPr>
              <w:rPr>
                <w:rFonts w:ascii="Arial" w:hAnsi="Arial" w:cs="Arial"/>
                <w:b/>
                <w:bCs/>
                <w:color w:val="000000"/>
              </w:rPr>
            </w:pPr>
            <w:r w:rsidRPr="00307D27">
              <w:rPr>
                <w:rFonts w:ascii="Arial" w:hAnsi="Arial" w:cs="Arial"/>
                <w:b/>
                <w:bCs/>
                <w:color w:val="000000"/>
              </w:rPr>
              <w:t xml:space="preserve">   27.148.435,00 KM </w:t>
            </w:r>
          </w:p>
        </w:tc>
      </w:tr>
      <w:tr w:rsidR="00F26574" w:rsidRPr="00307D27" w:rsidTr="000B3CB9">
        <w:trPr>
          <w:trHeight w:val="300"/>
        </w:trPr>
        <w:tc>
          <w:tcPr>
            <w:tcW w:w="5778" w:type="dxa"/>
            <w:gridSpan w:val="2"/>
            <w:shd w:val="clear" w:color="auto" w:fill="auto"/>
            <w:noWrap/>
            <w:vAlign w:val="center"/>
            <w:hideMark/>
          </w:tcPr>
          <w:p w:rsidR="00F26574" w:rsidRPr="00307D27" w:rsidRDefault="00F26574" w:rsidP="000B3CB9">
            <w:pPr>
              <w:rPr>
                <w:rFonts w:ascii="Arial" w:hAnsi="Arial" w:cs="Arial"/>
                <w:color w:val="000000"/>
              </w:rPr>
            </w:pPr>
            <w:r>
              <w:rPr>
                <w:rFonts w:ascii="Arial" w:hAnsi="Arial" w:cs="Arial"/>
                <w:color w:val="000000"/>
              </w:rPr>
              <w:t xml:space="preserve">   - </w:t>
            </w:r>
            <w:proofErr w:type="spellStart"/>
            <w:r>
              <w:rPr>
                <w:rFonts w:ascii="Arial" w:hAnsi="Arial" w:cs="Arial"/>
                <w:color w:val="000000"/>
              </w:rPr>
              <w:t>povrat</w:t>
            </w:r>
            <w:proofErr w:type="spellEnd"/>
            <w:r>
              <w:rPr>
                <w:rFonts w:ascii="Arial" w:hAnsi="Arial" w:cs="Arial"/>
                <w:color w:val="000000"/>
              </w:rPr>
              <w:t xml:space="preserve"> u </w:t>
            </w:r>
            <w:proofErr w:type="spellStart"/>
            <w:r>
              <w:rPr>
                <w:rFonts w:ascii="Arial" w:hAnsi="Arial" w:cs="Arial"/>
                <w:color w:val="000000"/>
              </w:rPr>
              <w:t>budž</w:t>
            </w:r>
            <w:r w:rsidRPr="00307D27">
              <w:rPr>
                <w:rFonts w:ascii="Arial" w:hAnsi="Arial" w:cs="Arial"/>
                <w:color w:val="000000"/>
              </w:rPr>
              <w:t>et</w:t>
            </w:r>
            <w:proofErr w:type="spellEnd"/>
            <w:r w:rsidRPr="00307D27">
              <w:rPr>
                <w:rFonts w:ascii="Arial" w:hAnsi="Arial" w:cs="Arial"/>
                <w:color w:val="000000"/>
              </w:rPr>
              <w:t xml:space="preserve"> (</w:t>
            </w:r>
            <w:proofErr w:type="spellStart"/>
            <w:r>
              <w:rPr>
                <w:rFonts w:ascii="Arial" w:hAnsi="Arial" w:cs="Arial"/>
                <w:color w:val="000000"/>
              </w:rPr>
              <w:t>retroak</w:t>
            </w:r>
            <w:r w:rsidRPr="00307D27">
              <w:rPr>
                <w:rFonts w:ascii="Arial" w:hAnsi="Arial" w:cs="Arial"/>
                <w:color w:val="000000"/>
              </w:rPr>
              <w:t>t</w:t>
            </w:r>
            <w:r>
              <w:rPr>
                <w:rFonts w:ascii="Arial" w:hAnsi="Arial" w:cs="Arial"/>
                <w:color w:val="000000"/>
              </w:rPr>
              <w:t>i</w:t>
            </w:r>
            <w:r w:rsidRPr="00307D27">
              <w:rPr>
                <w:rFonts w:ascii="Arial" w:hAnsi="Arial" w:cs="Arial"/>
                <w:color w:val="000000"/>
              </w:rPr>
              <w:t>vno</w:t>
            </w:r>
            <w:proofErr w:type="spellEnd"/>
            <w:r w:rsidRPr="00307D27">
              <w:rPr>
                <w:rFonts w:ascii="Arial" w:hAnsi="Arial" w:cs="Arial"/>
                <w:color w:val="000000"/>
              </w:rPr>
              <w:t xml:space="preserve"> </w:t>
            </w:r>
            <w:proofErr w:type="spellStart"/>
            <w:r w:rsidRPr="00307D27">
              <w:rPr>
                <w:rFonts w:ascii="Arial" w:hAnsi="Arial" w:cs="Arial"/>
                <w:color w:val="000000"/>
              </w:rPr>
              <w:t>finansiranje</w:t>
            </w:r>
            <w:proofErr w:type="spellEnd"/>
            <w:r w:rsidRPr="00307D27">
              <w:rPr>
                <w:rFonts w:ascii="Arial" w:hAnsi="Arial" w:cs="Arial"/>
                <w:color w:val="000000"/>
              </w:rPr>
              <w:t>)</w:t>
            </w:r>
          </w:p>
        </w:tc>
        <w:tc>
          <w:tcPr>
            <w:tcW w:w="426" w:type="dxa"/>
            <w:shd w:val="clear" w:color="auto" w:fill="auto"/>
            <w:noWrap/>
            <w:vAlign w:val="bottom"/>
            <w:hideMark/>
          </w:tcPr>
          <w:p w:rsidR="00F26574" w:rsidRPr="00307D27" w:rsidRDefault="00F26574" w:rsidP="000B3CB9">
            <w:pPr>
              <w:rPr>
                <w:rFonts w:ascii="Arial" w:hAnsi="Arial" w:cs="Arial"/>
                <w:color w:val="000000"/>
              </w:rPr>
            </w:pPr>
          </w:p>
        </w:tc>
        <w:tc>
          <w:tcPr>
            <w:tcW w:w="2552" w:type="dxa"/>
            <w:shd w:val="clear" w:color="auto" w:fill="auto"/>
            <w:noWrap/>
            <w:vAlign w:val="bottom"/>
            <w:hideMark/>
          </w:tcPr>
          <w:p w:rsidR="00F26574" w:rsidRPr="00307D27" w:rsidRDefault="00F26574" w:rsidP="000B3CB9">
            <w:pPr>
              <w:rPr>
                <w:rFonts w:ascii="Arial" w:hAnsi="Arial" w:cs="Arial"/>
                <w:color w:val="000000"/>
              </w:rPr>
            </w:pPr>
            <w:r w:rsidRPr="00307D27">
              <w:rPr>
                <w:rFonts w:ascii="Arial" w:hAnsi="Arial" w:cs="Arial"/>
                <w:color w:val="000000"/>
              </w:rPr>
              <w:t xml:space="preserve">      8.000.000,00 KM </w:t>
            </w:r>
          </w:p>
        </w:tc>
      </w:tr>
      <w:tr w:rsidR="00F26574" w:rsidRPr="00307D27" w:rsidTr="000B3CB9">
        <w:trPr>
          <w:trHeight w:val="300"/>
        </w:trPr>
        <w:tc>
          <w:tcPr>
            <w:tcW w:w="5778" w:type="dxa"/>
            <w:gridSpan w:val="2"/>
            <w:shd w:val="clear" w:color="auto" w:fill="auto"/>
            <w:noWrap/>
            <w:vAlign w:val="center"/>
            <w:hideMark/>
          </w:tcPr>
          <w:p w:rsidR="00F26574" w:rsidRPr="00307D27" w:rsidRDefault="00F26574" w:rsidP="000B3CB9">
            <w:pPr>
              <w:rPr>
                <w:rFonts w:ascii="Arial" w:hAnsi="Arial" w:cs="Arial"/>
                <w:color w:val="000000"/>
              </w:rPr>
            </w:pPr>
            <w:r w:rsidRPr="00307D27">
              <w:rPr>
                <w:rFonts w:ascii="Arial" w:hAnsi="Arial" w:cs="Arial"/>
                <w:color w:val="000000"/>
              </w:rPr>
              <w:t xml:space="preserve">   - </w:t>
            </w:r>
            <w:proofErr w:type="spellStart"/>
            <w:r w:rsidRPr="00307D27">
              <w:rPr>
                <w:rFonts w:ascii="Arial" w:hAnsi="Arial" w:cs="Arial"/>
                <w:color w:val="000000"/>
              </w:rPr>
              <w:t>nabavka</w:t>
            </w:r>
            <w:proofErr w:type="spellEnd"/>
            <w:r w:rsidRPr="00307D27">
              <w:rPr>
                <w:rFonts w:ascii="Arial" w:hAnsi="Arial" w:cs="Arial"/>
                <w:color w:val="000000"/>
              </w:rPr>
              <w:t xml:space="preserve"> </w:t>
            </w:r>
            <w:proofErr w:type="spellStart"/>
            <w:r w:rsidRPr="00307D27">
              <w:rPr>
                <w:rFonts w:ascii="Arial" w:hAnsi="Arial" w:cs="Arial"/>
                <w:color w:val="000000"/>
              </w:rPr>
              <w:t>urgentnih</w:t>
            </w:r>
            <w:proofErr w:type="spellEnd"/>
            <w:r w:rsidRPr="00307D27">
              <w:rPr>
                <w:rFonts w:ascii="Arial" w:hAnsi="Arial" w:cs="Arial"/>
                <w:color w:val="000000"/>
              </w:rPr>
              <w:t xml:space="preserve"> </w:t>
            </w:r>
            <w:proofErr w:type="spellStart"/>
            <w:r w:rsidRPr="00307D27">
              <w:rPr>
                <w:rFonts w:ascii="Arial" w:hAnsi="Arial" w:cs="Arial"/>
                <w:color w:val="000000"/>
              </w:rPr>
              <w:t>roba</w:t>
            </w:r>
            <w:proofErr w:type="spellEnd"/>
            <w:r w:rsidRPr="00307D27">
              <w:rPr>
                <w:rFonts w:ascii="Arial" w:hAnsi="Arial" w:cs="Arial"/>
                <w:color w:val="000000"/>
              </w:rPr>
              <w:t xml:space="preserve"> u </w:t>
            </w:r>
            <w:proofErr w:type="spellStart"/>
            <w:r w:rsidRPr="00307D27">
              <w:rPr>
                <w:rFonts w:ascii="Arial" w:hAnsi="Arial" w:cs="Arial"/>
                <w:color w:val="000000"/>
              </w:rPr>
              <w:t>okviru</w:t>
            </w:r>
            <w:proofErr w:type="spellEnd"/>
            <w:r w:rsidRPr="00307D27">
              <w:rPr>
                <w:rFonts w:ascii="Arial" w:hAnsi="Arial" w:cs="Arial"/>
                <w:color w:val="000000"/>
              </w:rPr>
              <w:t xml:space="preserve"> </w:t>
            </w:r>
            <w:proofErr w:type="spellStart"/>
            <w:r w:rsidRPr="00307D27">
              <w:rPr>
                <w:rFonts w:ascii="Arial" w:hAnsi="Arial" w:cs="Arial"/>
                <w:color w:val="000000"/>
              </w:rPr>
              <w:t>projekta</w:t>
            </w:r>
            <w:proofErr w:type="spellEnd"/>
          </w:p>
        </w:tc>
        <w:tc>
          <w:tcPr>
            <w:tcW w:w="426" w:type="dxa"/>
            <w:shd w:val="clear" w:color="auto" w:fill="auto"/>
            <w:noWrap/>
            <w:vAlign w:val="bottom"/>
            <w:hideMark/>
          </w:tcPr>
          <w:p w:rsidR="00F26574" w:rsidRPr="00307D27" w:rsidRDefault="00F26574" w:rsidP="000B3CB9">
            <w:pPr>
              <w:rPr>
                <w:rFonts w:ascii="Arial" w:hAnsi="Arial" w:cs="Arial"/>
                <w:color w:val="000000"/>
              </w:rPr>
            </w:pPr>
          </w:p>
        </w:tc>
        <w:tc>
          <w:tcPr>
            <w:tcW w:w="2552" w:type="dxa"/>
            <w:shd w:val="clear" w:color="auto" w:fill="auto"/>
            <w:noWrap/>
            <w:vAlign w:val="bottom"/>
            <w:hideMark/>
          </w:tcPr>
          <w:p w:rsidR="00F26574" w:rsidRPr="00307D27" w:rsidRDefault="00F26574" w:rsidP="000B3CB9">
            <w:pPr>
              <w:rPr>
                <w:rFonts w:ascii="Arial" w:hAnsi="Arial" w:cs="Arial"/>
                <w:color w:val="000000"/>
              </w:rPr>
            </w:pPr>
            <w:r w:rsidRPr="00307D27">
              <w:rPr>
                <w:rFonts w:ascii="Arial" w:hAnsi="Arial" w:cs="Arial"/>
                <w:color w:val="000000"/>
              </w:rPr>
              <w:t xml:space="preserve">    19.148.435,00 KM </w:t>
            </w:r>
          </w:p>
        </w:tc>
      </w:tr>
    </w:tbl>
    <w:p w:rsidR="00F26574" w:rsidRDefault="00F26574" w:rsidP="00F26574">
      <w:pPr>
        <w:pStyle w:val="BankNormal"/>
        <w:jc w:val="both"/>
        <w:rPr>
          <w:rFonts w:ascii="Arial" w:hAnsi="Arial" w:cs="Arial"/>
          <w:szCs w:val="24"/>
          <w:lang w:val="hr-BA"/>
        </w:rPr>
      </w:pPr>
    </w:p>
    <w:p w:rsidR="00F26574" w:rsidRDefault="00F26574" w:rsidP="00F26574">
      <w:pPr>
        <w:pStyle w:val="BankNormal"/>
        <w:jc w:val="both"/>
        <w:rPr>
          <w:rFonts w:ascii="Arial" w:hAnsi="Arial" w:cs="Arial"/>
          <w:szCs w:val="24"/>
          <w:lang w:val="hr-BA"/>
        </w:rPr>
      </w:pPr>
      <w:r>
        <w:rPr>
          <w:rFonts w:ascii="Arial" w:hAnsi="Arial" w:cs="Arial"/>
          <w:szCs w:val="24"/>
          <w:lang w:val="hr-BA"/>
        </w:rPr>
        <w:t>Imajuću u vidu navedene mogućnosti, te rizike ostvarenja prihoda planiranih budžetom za 2014. godinu, Federalno ministarstvo finansija-financija predlaže sljedeći raspored utroška sredstava u okviru Komponente 1:</w:t>
      </w:r>
    </w:p>
    <w:tbl>
      <w:tblPr>
        <w:tblpPr w:leftFromText="180" w:rightFromText="180" w:vertAnchor="text" w:horzAnchor="margin" w:tblpX="108" w:tblpY="182"/>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2268"/>
        <w:gridCol w:w="2410"/>
      </w:tblGrid>
      <w:tr w:rsidR="00F26574" w:rsidRPr="00E012AE" w:rsidTr="000B3CB9">
        <w:trPr>
          <w:trHeight w:val="555"/>
        </w:trPr>
        <w:tc>
          <w:tcPr>
            <w:tcW w:w="4219" w:type="dxa"/>
            <w:shd w:val="clear" w:color="auto" w:fill="auto"/>
            <w:noWrap/>
            <w:vAlign w:val="center"/>
            <w:hideMark/>
          </w:tcPr>
          <w:p w:rsidR="00F26574" w:rsidRPr="00E012AE" w:rsidRDefault="00F26574" w:rsidP="000B3CB9">
            <w:pPr>
              <w:jc w:val="center"/>
              <w:rPr>
                <w:rFonts w:ascii="Arial" w:hAnsi="Arial" w:cs="Arial"/>
                <w:b/>
                <w:color w:val="000000"/>
              </w:rPr>
            </w:pPr>
            <w:proofErr w:type="spellStart"/>
            <w:r w:rsidRPr="00E012AE">
              <w:rPr>
                <w:rFonts w:ascii="Arial" w:hAnsi="Arial" w:cs="Arial"/>
                <w:b/>
                <w:color w:val="000000"/>
              </w:rPr>
              <w:lastRenderedPageBreak/>
              <w:t>Budžetski</w:t>
            </w:r>
            <w:proofErr w:type="spellEnd"/>
            <w:r w:rsidRPr="00E012AE">
              <w:rPr>
                <w:rFonts w:ascii="Arial" w:hAnsi="Arial" w:cs="Arial"/>
                <w:b/>
                <w:color w:val="000000"/>
              </w:rPr>
              <w:t xml:space="preserve">  </w:t>
            </w:r>
            <w:proofErr w:type="spellStart"/>
            <w:r w:rsidRPr="00E012AE">
              <w:rPr>
                <w:rFonts w:ascii="Arial" w:hAnsi="Arial" w:cs="Arial"/>
                <w:b/>
                <w:color w:val="000000"/>
              </w:rPr>
              <w:t>korisnik</w:t>
            </w:r>
            <w:proofErr w:type="spellEnd"/>
          </w:p>
        </w:tc>
        <w:tc>
          <w:tcPr>
            <w:tcW w:w="2268" w:type="dxa"/>
            <w:shd w:val="clear" w:color="auto" w:fill="auto"/>
            <w:noWrap/>
            <w:vAlign w:val="center"/>
            <w:hideMark/>
          </w:tcPr>
          <w:p w:rsidR="00F26574" w:rsidRPr="00E012AE" w:rsidRDefault="00F26574" w:rsidP="000B3CB9">
            <w:pPr>
              <w:jc w:val="center"/>
              <w:rPr>
                <w:rFonts w:ascii="Arial" w:hAnsi="Arial" w:cs="Arial"/>
                <w:b/>
                <w:color w:val="000000"/>
              </w:rPr>
            </w:pPr>
            <w:r w:rsidRPr="00E012AE">
              <w:rPr>
                <w:rFonts w:ascii="Arial" w:hAnsi="Arial" w:cs="Arial"/>
                <w:b/>
                <w:color w:val="000000"/>
              </w:rPr>
              <w:t xml:space="preserve">Plan u </w:t>
            </w:r>
            <w:proofErr w:type="spellStart"/>
            <w:r w:rsidRPr="00E012AE">
              <w:rPr>
                <w:rFonts w:ascii="Arial" w:hAnsi="Arial" w:cs="Arial"/>
                <w:b/>
                <w:color w:val="000000"/>
              </w:rPr>
              <w:t>budžetu</w:t>
            </w:r>
            <w:proofErr w:type="spellEnd"/>
          </w:p>
        </w:tc>
        <w:tc>
          <w:tcPr>
            <w:tcW w:w="2410" w:type="dxa"/>
            <w:shd w:val="clear" w:color="auto" w:fill="auto"/>
            <w:noWrap/>
            <w:vAlign w:val="center"/>
            <w:hideMark/>
          </w:tcPr>
          <w:p w:rsidR="00F26574" w:rsidRPr="00E012AE" w:rsidRDefault="00F26574" w:rsidP="000B3CB9">
            <w:pPr>
              <w:jc w:val="center"/>
              <w:rPr>
                <w:rFonts w:ascii="Arial" w:hAnsi="Arial" w:cs="Arial"/>
                <w:b/>
                <w:color w:val="000000"/>
              </w:rPr>
            </w:pPr>
            <w:proofErr w:type="spellStart"/>
            <w:r>
              <w:rPr>
                <w:rFonts w:ascii="Arial" w:hAnsi="Arial" w:cs="Arial"/>
                <w:b/>
                <w:color w:val="000000"/>
              </w:rPr>
              <w:t>Nabavka</w:t>
            </w:r>
            <w:proofErr w:type="spellEnd"/>
            <w:r>
              <w:rPr>
                <w:rFonts w:ascii="Arial" w:hAnsi="Arial" w:cs="Arial"/>
                <w:b/>
                <w:color w:val="000000"/>
              </w:rPr>
              <w:t xml:space="preserve"> </w:t>
            </w:r>
            <w:proofErr w:type="spellStart"/>
            <w:r>
              <w:rPr>
                <w:rFonts w:ascii="Arial" w:hAnsi="Arial" w:cs="Arial"/>
                <w:b/>
                <w:color w:val="000000"/>
              </w:rPr>
              <w:t>iz</w:t>
            </w:r>
            <w:proofErr w:type="spellEnd"/>
            <w:r w:rsidRPr="00E012AE">
              <w:rPr>
                <w:rFonts w:ascii="Arial" w:hAnsi="Arial" w:cs="Arial"/>
                <w:b/>
                <w:color w:val="000000"/>
              </w:rPr>
              <w:t xml:space="preserve"> </w:t>
            </w:r>
            <w:proofErr w:type="spellStart"/>
            <w:r w:rsidRPr="00E012AE">
              <w:rPr>
                <w:rFonts w:ascii="Arial" w:hAnsi="Arial" w:cs="Arial"/>
                <w:b/>
                <w:color w:val="000000"/>
              </w:rPr>
              <w:t>kredit</w:t>
            </w:r>
            <w:r>
              <w:rPr>
                <w:rFonts w:ascii="Arial" w:hAnsi="Arial" w:cs="Arial"/>
                <w:b/>
                <w:color w:val="000000"/>
              </w:rPr>
              <w:t>a</w:t>
            </w:r>
            <w:proofErr w:type="spellEnd"/>
          </w:p>
        </w:tc>
      </w:tr>
      <w:tr w:rsidR="00F26574" w:rsidRPr="00E012AE" w:rsidTr="000B3CB9">
        <w:trPr>
          <w:trHeight w:val="300"/>
        </w:trPr>
        <w:tc>
          <w:tcPr>
            <w:tcW w:w="4219" w:type="dxa"/>
            <w:shd w:val="clear" w:color="auto" w:fill="auto"/>
            <w:noWrap/>
            <w:vAlign w:val="bottom"/>
            <w:hideMark/>
          </w:tcPr>
          <w:p w:rsidR="00F26574" w:rsidRPr="00E012AE" w:rsidRDefault="00F26574" w:rsidP="000B3CB9">
            <w:pPr>
              <w:rPr>
                <w:rFonts w:ascii="Arial" w:hAnsi="Arial" w:cs="Arial"/>
                <w:color w:val="000000"/>
              </w:rPr>
            </w:pPr>
            <w:r w:rsidRPr="00E012AE">
              <w:rPr>
                <w:rFonts w:ascii="Arial" w:hAnsi="Arial" w:cs="Arial"/>
                <w:color w:val="000000"/>
              </w:rPr>
              <w:t xml:space="preserve">Federalno ministarstvo </w:t>
            </w:r>
            <w:proofErr w:type="spellStart"/>
            <w:r w:rsidRPr="00E012AE">
              <w:rPr>
                <w:rFonts w:ascii="Arial" w:hAnsi="Arial" w:cs="Arial"/>
                <w:color w:val="000000"/>
              </w:rPr>
              <w:t>raseljenih</w:t>
            </w:r>
            <w:proofErr w:type="spellEnd"/>
            <w:r w:rsidRPr="00E012AE">
              <w:rPr>
                <w:rFonts w:ascii="Arial" w:hAnsi="Arial" w:cs="Arial"/>
                <w:color w:val="000000"/>
              </w:rPr>
              <w:t xml:space="preserve"> </w:t>
            </w:r>
            <w:proofErr w:type="spellStart"/>
            <w:r w:rsidRPr="00E012AE">
              <w:rPr>
                <w:rFonts w:ascii="Arial" w:hAnsi="Arial" w:cs="Arial"/>
                <w:color w:val="000000"/>
              </w:rPr>
              <w:t>osoba</w:t>
            </w:r>
            <w:proofErr w:type="spellEnd"/>
            <w:r w:rsidRPr="00E012AE">
              <w:rPr>
                <w:rFonts w:ascii="Arial" w:hAnsi="Arial" w:cs="Arial"/>
                <w:color w:val="000000"/>
              </w:rPr>
              <w:t xml:space="preserve"> i </w:t>
            </w:r>
            <w:proofErr w:type="spellStart"/>
            <w:r w:rsidRPr="00E012AE">
              <w:rPr>
                <w:rFonts w:ascii="Arial" w:hAnsi="Arial" w:cs="Arial"/>
                <w:color w:val="000000"/>
              </w:rPr>
              <w:t>izbjeglica</w:t>
            </w:r>
            <w:proofErr w:type="spellEnd"/>
          </w:p>
        </w:tc>
        <w:tc>
          <w:tcPr>
            <w:tcW w:w="2268" w:type="dxa"/>
            <w:shd w:val="clear" w:color="auto" w:fill="auto"/>
            <w:noWrap/>
            <w:vAlign w:val="center"/>
            <w:hideMark/>
          </w:tcPr>
          <w:p w:rsidR="00F26574" w:rsidRPr="00E012AE" w:rsidRDefault="00F26574" w:rsidP="000B3CB9">
            <w:pPr>
              <w:jc w:val="right"/>
              <w:rPr>
                <w:rFonts w:ascii="Arial" w:hAnsi="Arial" w:cs="Arial"/>
                <w:color w:val="000000"/>
              </w:rPr>
            </w:pPr>
            <w:r>
              <w:rPr>
                <w:rFonts w:ascii="Arial" w:hAnsi="Arial" w:cs="Arial"/>
                <w:color w:val="000000"/>
              </w:rPr>
              <w:t>18.678.000,00 KM</w:t>
            </w:r>
          </w:p>
        </w:tc>
        <w:tc>
          <w:tcPr>
            <w:tcW w:w="2410" w:type="dxa"/>
            <w:shd w:val="clear" w:color="auto" w:fill="auto"/>
            <w:noWrap/>
            <w:vAlign w:val="center"/>
            <w:hideMark/>
          </w:tcPr>
          <w:p w:rsidR="00F26574" w:rsidRPr="00E012AE" w:rsidRDefault="00F26574" w:rsidP="000B3CB9">
            <w:pPr>
              <w:jc w:val="right"/>
              <w:rPr>
                <w:rFonts w:ascii="Arial" w:hAnsi="Arial" w:cs="Arial"/>
                <w:color w:val="000000"/>
              </w:rPr>
            </w:pPr>
            <w:r>
              <w:rPr>
                <w:rFonts w:ascii="Arial" w:hAnsi="Arial" w:cs="Arial"/>
                <w:color w:val="000000"/>
              </w:rPr>
              <w:t xml:space="preserve"> 9</w:t>
            </w:r>
            <w:r w:rsidRPr="00E012AE">
              <w:rPr>
                <w:rFonts w:ascii="Arial" w:hAnsi="Arial" w:cs="Arial"/>
                <w:color w:val="000000"/>
              </w:rPr>
              <w:t xml:space="preserve">.000.000,00 KM </w:t>
            </w:r>
          </w:p>
        </w:tc>
      </w:tr>
      <w:tr w:rsidR="00F26574" w:rsidRPr="00E012AE" w:rsidTr="000B3CB9">
        <w:trPr>
          <w:trHeight w:val="300"/>
        </w:trPr>
        <w:tc>
          <w:tcPr>
            <w:tcW w:w="4219" w:type="dxa"/>
            <w:shd w:val="clear" w:color="auto" w:fill="auto"/>
            <w:noWrap/>
            <w:vAlign w:val="bottom"/>
            <w:hideMark/>
          </w:tcPr>
          <w:p w:rsidR="00F26574" w:rsidRPr="00E012AE" w:rsidRDefault="00F26574" w:rsidP="000B3CB9">
            <w:pPr>
              <w:rPr>
                <w:rFonts w:ascii="Arial" w:hAnsi="Arial" w:cs="Arial"/>
                <w:color w:val="000000"/>
              </w:rPr>
            </w:pPr>
            <w:r w:rsidRPr="00E012AE">
              <w:rPr>
                <w:rFonts w:ascii="Arial" w:hAnsi="Arial" w:cs="Arial"/>
                <w:color w:val="000000"/>
              </w:rPr>
              <w:t xml:space="preserve">Federalno ministarstvo </w:t>
            </w:r>
            <w:proofErr w:type="spellStart"/>
            <w:r w:rsidRPr="00E012AE">
              <w:rPr>
                <w:rFonts w:ascii="Arial" w:hAnsi="Arial" w:cs="Arial"/>
                <w:color w:val="000000"/>
              </w:rPr>
              <w:t>poljoprivrede</w:t>
            </w:r>
            <w:proofErr w:type="spellEnd"/>
            <w:r w:rsidRPr="00E012AE">
              <w:rPr>
                <w:rFonts w:ascii="Arial" w:hAnsi="Arial" w:cs="Arial"/>
                <w:color w:val="000000"/>
              </w:rPr>
              <w:t xml:space="preserve">, </w:t>
            </w:r>
            <w:proofErr w:type="spellStart"/>
            <w:r w:rsidRPr="00E012AE">
              <w:rPr>
                <w:rFonts w:ascii="Arial" w:hAnsi="Arial" w:cs="Arial"/>
                <w:color w:val="000000"/>
              </w:rPr>
              <w:t>vodoprivrede</w:t>
            </w:r>
            <w:proofErr w:type="spellEnd"/>
            <w:r w:rsidRPr="00E012AE">
              <w:rPr>
                <w:rFonts w:ascii="Arial" w:hAnsi="Arial" w:cs="Arial"/>
                <w:color w:val="000000"/>
              </w:rPr>
              <w:t xml:space="preserve"> i </w:t>
            </w:r>
            <w:proofErr w:type="spellStart"/>
            <w:r w:rsidRPr="00E012AE">
              <w:rPr>
                <w:rFonts w:ascii="Arial" w:hAnsi="Arial" w:cs="Arial"/>
                <w:color w:val="000000"/>
              </w:rPr>
              <w:t>šumarstva</w:t>
            </w:r>
            <w:proofErr w:type="spellEnd"/>
          </w:p>
        </w:tc>
        <w:tc>
          <w:tcPr>
            <w:tcW w:w="2268" w:type="dxa"/>
            <w:shd w:val="clear" w:color="auto" w:fill="auto"/>
            <w:noWrap/>
            <w:vAlign w:val="center"/>
            <w:hideMark/>
          </w:tcPr>
          <w:p w:rsidR="00F26574" w:rsidRPr="00E012AE" w:rsidRDefault="00F26574" w:rsidP="000B3CB9">
            <w:pPr>
              <w:jc w:val="right"/>
              <w:rPr>
                <w:rFonts w:ascii="Arial" w:hAnsi="Arial" w:cs="Arial"/>
                <w:color w:val="000000"/>
              </w:rPr>
            </w:pPr>
            <w:r w:rsidRPr="00E012AE">
              <w:rPr>
                <w:rFonts w:ascii="Arial" w:hAnsi="Arial" w:cs="Arial"/>
                <w:color w:val="000000"/>
              </w:rPr>
              <w:t xml:space="preserve">3.225.250,00 KM </w:t>
            </w:r>
          </w:p>
        </w:tc>
        <w:tc>
          <w:tcPr>
            <w:tcW w:w="2410" w:type="dxa"/>
            <w:shd w:val="clear" w:color="auto" w:fill="auto"/>
            <w:noWrap/>
            <w:vAlign w:val="center"/>
            <w:hideMark/>
          </w:tcPr>
          <w:p w:rsidR="00F26574" w:rsidRPr="00E012AE" w:rsidRDefault="00F26574" w:rsidP="000B3CB9">
            <w:pPr>
              <w:jc w:val="right"/>
              <w:rPr>
                <w:rFonts w:ascii="Arial" w:hAnsi="Arial" w:cs="Arial"/>
                <w:color w:val="000000"/>
              </w:rPr>
            </w:pPr>
            <w:r>
              <w:rPr>
                <w:rFonts w:ascii="Arial" w:hAnsi="Arial" w:cs="Arial"/>
                <w:color w:val="000000"/>
              </w:rPr>
              <w:t xml:space="preserve">   </w:t>
            </w:r>
            <w:r w:rsidRPr="00E012AE">
              <w:rPr>
                <w:rFonts w:ascii="Arial" w:hAnsi="Arial" w:cs="Arial"/>
                <w:color w:val="000000"/>
              </w:rPr>
              <w:t xml:space="preserve">3.225.250,00 KM </w:t>
            </w:r>
          </w:p>
        </w:tc>
      </w:tr>
      <w:tr w:rsidR="00F26574" w:rsidRPr="00E012AE" w:rsidTr="000B3CB9">
        <w:trPr>
          <w:trHeight w:val="300"/>
        </w:trPr>
        <w:tc>
          <w:tcPr>
            <w:tcW w:w="4219" w:type="dxa"/>
            <w:shd w:val="clear" w:color="auto" w:fill="auto"/>
            <w:noWrap/>
            <w:vAlign w:val="bottom"/>
            <w:hideMark/>
          </w:tcPr>
          <w:p w:rsidR="00F26574" w:rsidRPr="00E012AE" w:rsidRDefault="00F26574" w:rsidP="000B3CB9">
            <w:pPr>
              <w:rPr>
                <w:rFonts w:ascii="Arial" w:hAnsi="Arial" w:cs="Arial"/>
                <w:color w:val="000000"/>
              </w:rPr>
            </w:pPr>
            <w:proofErr w:type="spellStart"/>
            <w:r w:rsidRPr="00E012AE">
              <w:rPr>
                <w:rFonts w:ascii="Arial" w:hAnsi="Arial" w:cs="Arial"/>
                <w:color w:val="000000"/>
              </w:rPr>
              <w:t>Federalna</w:t>
            </w:r>
            <w:proofErr w:type="spellEnd"/>
            <w:r w:rsidRPr="00E012AE">
              <w:rPr>
                <w:rFonts w:ascii="Arial" w:hAnsi="Arial" w:cs="Arial"/>
                <w:color w:val="000000"/>
              </w:rPr>
              <w:t xml:space="preserve"> </w:t>
            </w:r>
            <w:proofErr w:type="spellStart"/>
            <w:r w:rsidRPr="00E012AE">
              <w:rPr>
                <w:rFonts w:ascii="Arial" w:hAnsi="Arial" w:cs="Arial"/>
                <w:color w:val="000000"/>
              </w:rPr>
              <w:t>direkcija</w:t>
            </w:r>
            <w:proofErr w:type="spellEnd"/>
            <w:r w:rsidRPr="00E012AE">
              <w:rPr>
                <w:rFonts w:ascii="Arial" w:hAnsi="Arial" w:cs="Arial"/>
                <w:color w:val="000000"/>
              </w:rPr>
              <w:t xml:space="preserve"> </w:t>
            </w:r>
            <w:proofErr w:type="spellStart"/>
            <w:r w:rsidRPr="00E012AE">
              <w:rPr>
                <w:rFonts w:ascii="Arial" w:hAnsi="Arial" w:cs="Arial"/>
                <w:color w:val="000000"/>
              </w:rPr>
              <w:t>robnih</w:t>
            </w:r>
            <w:proofErr w:type="spellEnd"/>
            <w:r w:rsidRPr="00E012AE">
              <w:rPr>
                <w:rFonts w:ascii="Arial" w:hAnsi="Arial" w:cs="Arial"/>
                <w:color w:val="000000"/>
              </w:rPr>
              <w:t xml:space="preserve"> </w:t>
            </w:r>
            <w:proofErr w:type="spellStart"/>
            <w:r w:rsidRPr="00E012AE">
              <w:rPr>
                <w:rFonts w:ascii="Arial" w:hAnsi="Arial" w:cs="Arial"/>
                <w:color w:val="000000"/>
              </w:rPr>
              <w:t>rezervi</w:t>
            </w:r>
            <w:proofErr w:type="spellEnd"/>
          </w:p>
        </w:tc>
        <w:tc>
          <w:tcPr>
            <w:tcW w:w="2268" w:type="dxa"/>
            <w:shd w:val="clear" w:color="auto" w:fill="auto"/>
            <w:noWrap/>
            <w:vAlign w:val="bottom"/>
            <w:hideMark/>
          </w:tcPr>
          <w:p w:rsidR="00F26574" w:rsidRPr="00E012AE" w:rsidRDefault="00F26574" w:rsidP="000B3CB9">
            <w:pPr>
              <w:jc w:val="right"/>
              <w:rPr>
                <w:rFonts w:ascii="Arial" w:hAnsi="Arial" w:cs="Arial"/>
                <w:color w:val="000000"/>
              </w:rPr>
            </w:pPr>
            <w:r w:rsidRPr="00E012AE">
              <w:rPr>
                <w:rFonts w:ascii="Arial" w:hAnsi="Arial" w:cs="Arial"/>
                <w:color w:val="000000"/>
              </w:rPr>
              <w:t xml:space="preserve">2.750.000,00 KM </w:t>
            </w:r>
          </w:p>
        </w:tc>
        <w:tc>
          <w:tcPr>
            <w:tcW w:w="2410" w:type="dxa"/>
            <w:shd w:val="clear" w:color="auto" w:fill="auto"/>
            <w:noWrap/>
            <w:vAlign w:val="bottom"/>
            <w:hideMark/>
          </w:tcPr>
          <w:p w:rsidR="00F26574" w:rsidRPr="00E012AE" w:rsidRDefault="00F26574" w:rsidP="000B3CB9">
            <w:pPr>
              <w:jc w:val="right"/>
              <w:rPr>
                <w:rFonts w:ascii="Arial" w:hAnsi="Arial" w:cs="Arial"/>
                <w:color w:val="000000"/>
              </w:rPr>
            </w:pPr>
            <w:r>
              <w:rPr>
                <w:rFonts w:ascii="Arial" w:hAnsi="Arial" w:cs="Arial"/>
                <w:color w:val="000000"/>
              </w:rPr>
              <w:t xml:space="preserve">   3.923.185</w:t>
            </w:r>
            <w:r w:rsidRPr="00E012AE">
              <w:rPr>
                <w:rFonts w:ascii="Arial" w:hAnsi="Arial" w:cs="Arial"/>
                <w:color w:val="000000"/>
              </w:rPr>
              <w:t xml:space="preserve">,00 KM </w:t>
            </w:r>
          </w:p>
        </w:tc>
      </w:tr>
      <w:tr w:rsidR="00F26574" w:rsidRPr="00E012AE" w:rsidTr="000B3CB9">
        <w:trPr>
          <w:trHeight w:val="300"/>
        </w:trPr>
        <w:tc>
          <w:tcPr>
            <w:tcW w:w="4219" w:type="dxa"/>
            <w:shd w:val="clear" w:color="auto" w:fill="auto"/>
            <w:noWrap/>
            <w:vAlign w:val="bottom"/>
            <w:hideMark/>
          </w:tcPr>
          <w:p w:rsidR="00F26574" w:rsidRPr="00E012AE" w:rsidRDefault="00F26574" w:rsidP="000B3CB9">
            <w:pPr>
              <w:rPr>
                <w:rFonts w:ascii="Arial" w:hAnsi="Arial" w:cs="Arial"/>
                <w:color w:val="000000"/>
              </w:rPr>
            </w:pPr>
            <w:proofErr w:type="spellStart"/>
            <w:r w:rsidRPr="00E012AE">
              <w:rPr>
                <w:rFonts w:ascii="Arial" w:hAnsi="Arial" w:cs="Arial"/>
                <w:color w:val="000000"/>
              </w:rPr>
              <w:t>Federalna</w:t>
            </w:r>
            <w:proofErr w:type="spellEnd"/>
            <w:r w:rsidRPr="00E012AE">
              <w:rPr>
                <w:rFonts w:ascii="Arial" w:hAnsi="Arial" w:cs="Arial"/>
                <w:color w:val="000000"/>
              </w:rPr>
              <w:t xml:space="preserve"> </w:t>
            </w:r>
            <w:proofErr w:type="spellStart"/>
            <w:r w:rsidRPr="00E012AE">
              <w:rPr>
                <w:rFonts w:ascii="Arial" w:hAnsi="Arial" w:cs="Arial"/>
                <w:color w:val="000000"/>
              </w:rPr>
              <w:t>uprava</w:t>
            </w:r>
            <w:proofErr w:type="spellEnd"/>
            <w:r w:rsidRPr="00E012AE">
              <w:rPr>
                <w:rFonts w:ascii="Arial" w:hAnsi="Arial" w:cs="Arial"/>
                <w:color w:val="000000"/>
              </w:rPr>
              <w:t xml:space="preserve"> </w:t>
            </w:r>
            <w:proofErr w:type="spellStart"/>
            <w:r w:rsidRPr="00E012AE">
              <w:rPr>
                <w:rFonts w:ascii="Arial" w:hAnsi="Arial" w:cs="Arial"/>
                <w:color w:val="000000"/>
              </w:rPr>
              <w:t>civilne</w:t>
            </w:r>
            <w:proofErr w:type="spellEnd"/>
            <w:r w:rsidRPr="00E012AE">
              <w:rPr>
                <w:rFonts w:ascii="Arial" w:hAnsi="Arial" w:cs="Arial"/>
                <w:color w:val="000000"/>
              </w:rPr>
              <w:t xml:space="preserve"> </w:t>
            </w:r>
            <w:proofErr w:type="spellStart"/>
            <w:r w:rsidRPr="00E012AE">
              <w:rPr>
                <w:rFonts w:ascii="Arial" w:hAnsi="Arial" w:cs="Arial"/>
                <w:color w:val="000000"/>
              </w:rPr>
              <w:t>zaštite</w:t>
            </w:r>
            <w:proofErr w:type="spellEnd"/>
          </w:p>
        </w:tc>
        <w:tc>
          <w:tcPr>
            <w:tcW w:w="2268" w:type="dxa"/>
            <w:shd w:val="clear" w:color="auto" w:fill="auto"/>
            <w:noWrap/>
            <w:vAlign w:val="bottom"/>
            <w:hideMark/>
          </w:tcPr>
          <w:p w:rsidR="00F26574" w:rsidRPr="00E012AE" w:rsidRDefault="00F26574" w:rsidP="000B3CB9">
            <w:pPr>
              <w:rPr>
                <w:rFonts w:ascii="Arial" w:hAnsi="Arial" w:cs="Arial"/>
                <w:color w:val="000000"/>
              </w:rPr>
            </w:pPr>
          </w:p>
        </w:tc>
        <w:tc>
          <w:tcPr>
            <w:tcW w:w="2410" w:type="dxa"/>
            <w:shd w:val="clear" w:color="auto" w:fill="auto"/>
            <w:noWrap/>
            <w:vAlign w:val="bottom"/>
            <w:hideMark/>
          </w:tcPr>
          <w:p w:rsidR="00F26574" w:rsidRPr="00E012AE" w:rsidRDefault="00F26574" w:rsidP="000B3CB9">
            <w:pPr>
              <w:jc w:val="right"/>
              <w:rPr>
                <w:rFonts w:ascii="Arial" w:hAnsi="Arial" w:cs="Arial"/>
                <w:color w:val="000000"/>
              </w:rPr>
            </w:pPr>
            <w:r>
              <w:rPr>
                <w:rFonts w:ascii="Arial" w:hAnsi="Arial" w:cs="Arial"/>
                <w:color w:val="000000"/>
              </w:rPr>
              <w:t xml:space="preserve">   3.000.000</w:t>
            </w:r>
            <w:r w:rsidRPr="00E012AE">
              <w:rPr>
                <w:rFonts w:ascii="Arial" w:hAnsi="Arial" w:cs="Arial"/>
                <w:color w:val="000000"/>
              </w:rPr>
              <w:t xml:space="preserve">,00 KM </w:t>
            </w:r>
          </w:p>
        </w:tc>
      </w:tr>
      <w:tr w:rsidR="00F26574" w:rsidRPr="00E012AE" w:rsidTr="000B3CB9">
        <w:trPr>
          <w:trHeight w:val="510"/>
        </w:trPr>
        <w:tc>
          <w:tcPr>
            <w:tcW w:w="4219" w:type="dxa"/>
            <w:shd w:val="clear" w:color="auto" w:fill="auto"/>
            <w:noWrap/>
            <w:vAlign w:val="center"/>
            <w:hideMark/>
          </w:tcPr>
          <w:p w:rsidR="00F26574" w:rsidRPr="00E012AE" w:rsidRDefault="00F26574" w:rsidP="000B3CB9">
            <w:pPr>
              <w:rPr>
                <w:rFonts w:ascii="Arial" w:hAnsi="Arial" w:cs="Arial"/>
                <w:b/>
                <w:color w:val="000000"/>
              </w:rPr>
            </w:pPr>
            <w:proofErr w:type="spellStart"/>
            <w:r w:rsidRPr="00E012AE">
              <w:rPr>
                <w:rFonts w:ascii="Arial" w:hAnsi="Arial" w:cs="Arial"/>
                <w:b/>
                <w:color w:val="000000"/>
              </w:rPr>
              <w:t>Ukupno</w:t>
            </w:r>
            <w:proofErr w:type="spellEnd"/>
            <w:r w:rsidRPr="00E012AE">
              <w:rPr>
                <w:rFonts w:ascii="Arial" w:hAnsi="Arial" w:cs="Arial"/>
                <w:b/>
                <w:color w:val="000000"/>
              </w:rPr>
              <w:t xml:space="preserve"> </w:t>
            </w:r>
          </w:p>
        </w:tc>
        <w:tc>
          <w:tcPr>
            <w:tcW w:w="2268" w:type="dxa"/>
            <w:shd w:val="clear" w:color="auto" w:fill="auto"/>
            <w:noWrap/>
            <w:vAlign w:val="center"/>
            <w:hideMark/>
          </w:tcPr>
          <w:p w:rsidR="00F26574" w:rsidRPr="00E012AE" w:rsidRDefault="00F26574" w:rsidP="000B3CB9">
            <w:pPr>
              <w:rPr>
                <w:rFonts w:ascii="Arial" w:hAnsi="Arial" w:cs="Arial"/>
                <w:b/>
                <w:color w:val="000000"/>
              </w:rPr>
            </w:pPr>
          </w:p>
        </w:tc>
        <w:tc>
          <w:tcPr>
            <w:tcW w:w="2410" w:type="dxa"/>
            <w:shd w:val="clear" w:color="auto" w:fill="auto"/>
            <w:noWrap/>
            <w:vAlign w:val="center"/>
            <w:hideMark/>
          </w:tcPr>
          <w:p w:rsidR="00F26574" w:rsidRPr="00E012AE" w:rsidRDefault="00F26574" w:rsidP="000B3CB9">
            <w:pPr>
              <w:jc w:val="right"/>
              <w:rPr>
                <w:rFonts w:ascii="Arial" w:hAnsi="Arial" w:cs="Arial"/>
                <w:b/>
                <w:color w:val="000000"/>
              </w:rPr>
            </w:pPr>
            <w:r>
              <w:rPr>
                <w:rFonts w:ascii="Arial" w:hAnsi="Arial" w:cs="Arial"/>
                <w:b/>
                <w:color w:val="000000"/>
              </w:rPr>
              <w:t xml:space="preserve"> 19.148.435</w:t>
            </w:r>
            <w:r w:rsidRPr="00E012AE">
              <w:rPr>
                <w:rFonts w:ascii="Arial" w:hAnsi="Arial" w:cs="Arial"/>
                <w:b/>
                <w:color w:val="000000"/>
              </w:rPr>
              <w:t xml:space="preserve">,00 KM </w:t>
            </w:r>
          </w:p>
        </w:tc>
      </w:tr>
    </w:tbl>
    <w:p w:rsidR="00F26574" w:rsidRDefault="00F26574" w:rsidP="00F26574">
      <w:pPr>
        <w:pStyle w:val="BankNormal"/>
        <w:jc w:val="both"/>
        <w:rPr>
          <w:rFonts w:ascii="Arial" w:hAnsi="Arial" w:cs="Arial"/>
          <w:szCs w:val="24"/>
          <w:lang w:val="hr-BA"/>
        </w:rPr>
      </w:pPr>
    </w:p>
    <w:p w:rsidR="00F26574" w:rsidRDefault="00F26574" w:rsidP="00F26574">
      <w:pPr>
        <w:pStyle w:val="BankNormal"/>
        <w:jc w:val="both"/>
        <w:rPr>
          <w:rFonts w:ascii="Arial" w:hAnsi="Arial" w:cs="Arial"/>
          <w:szCs w:val="24"/>
          <w:lang w:val="hr-BA"/>
        </w:rPr>
      </w:pPr>
      <w:r>
        <w:rPr>
          <w:rFonts w:ascii="Arial" w:hAnsi="Arial" w:cs="Arial"/>
          <w:szCs w:val="24"/>
          <w:lang w:val="hr-BA"/>
        </w:rPr>
        <w:t>Realizacija navedenog plana podrazumijeva usaglašavanje plana nabavki i pripremu liste, odnosno specifikacije roba čija bi se nabavka provela u skladu sa hitnim procedurama Svjetske banke, te prilagođavanje Programa utroška sredstava za podsticaj poljoprivredi u kojem se jasno naznačilo da će se umjesto novčanih podsticaja, kao pomoć poljoprivrednicima  na područjima pogođenim poplavama izvršiti dodjela poljoprivrednih roba (sjemenski materijal, stočna hrana, stočni fond, poljoprivredna mehanizacija i sl). Što se tiče transfera za raseljena lica i izbjeglice, oni su i do sada realizirani  direktnom dodjelom građevinskog materijala i opreme ovim kategorijama.</w:t>
      </w:r>
    </w:p>
    <w:p w:rsidR="00F26574" w:rsidRDefault="00F26574" w:rsidP="00F26574">
      <w:pPr>
        <w:pStyle w:val="BankNormal"/>
        <w:jc w:val="both"/>
        <w:rPr>
          <w:rFonts w:ascii="Arial" w:hAnsi="Arial" w:cs="Arial"/>
          <w:szCs w:val="24"/>
          <w:lang w:val="hr-BA"/>
        </w:rPr>
      </w:pPr>
      <w:r>
        <w:rPr>
          <w:rFonts w:ascii="Arial" w:hAnsi="Arial" w:cs="Arial"/>
          <w:szCs w:val="24"/>
          <w:lang w:val="hr-BA"/>
        </w:rPr>
        <w:t>U svrhu razmatranja i poduzimanja narednih aktivnosti potrebno je da navedeni budžetski korisnici odrede osobe koje će biti zadužene za komunikaciju sa osobljem Svjetske banke, Federalnim ministarstvom finansija-financija i Jedinicom za implementaciju projekta (PIU)</w:t>
      </w:r>
    </w:p>
    <w:p w:rsidR="00F26574" w:rsidRDefault="00F26574" w:rsidP="00F26574">
      <w:pPr>
        <w:pStyle w:val="Default"/>
        <w:rPr>
          <w:rFonts w:ascii="Arial" w:hAnsi="Arial" w:cs="Arial"/>
          <w:b/>
          <w:bCs/>
        </w:rPr>
      </w:pPr>
    </w:p>
    <w:p w:rsidR="00F26574" w:rsidRPr="002B4A14" w:rsidRDefault="00F26574" w:rsidP="00F26574">
      <w:pPr>
        <w:pStyle w:val="Default"/>
        <w:rPr>
          <w:rFonts w:ascii="Arial" w:hAnsi="Arial" w:cs="Arial"/>
        </w:rPr>
      </w:pPr>
      <w:r w:rsidRPr="002B4A14">
        <w:rPr>
          <w:rFonts w:ascii="Arial" w:hAnsi="Arial" w:cs="Arial"/>
          <w:b/>
          <w:bCs/>
        </w:rPr>
        <w:t xml:space="preserve">KOMPONENTA 2: REHABILITACIJA KLJUČNE JAVNE INFRASTRUKTURE </w:t>
      </w:r>
    </w:p>
    <w:p w:rsidR="00F26574" w:rsidRDefault="00F26574" w:rsidP="00F26574">
      <w:pPr>
        <w:pStyle w:val="BankNormal"/>
        <w:jc w:val="both"/>
        <w:rPr>
          <w:rFonts w:ascii="Arial" w:hAnsi="Arial" w:cs="Arial"/>
          <w:b/>
          <w:bCs/>
          <w:szCs w:val="24"/>
        </w:rPr>
      </w:pPr>
      <w:proofErr w:type="spellStart"/>
      <w:r w:rsidRPr="002B4A14">
        <w:rPr>
          <w:rFonts w:ascii="Arial" w:hAnsi="Arial" w:cs="Arial"/>
          <w:b/>
          <w:bCs/>
          <w:szCs w:val="24"/>
        </w:rPr>
        <w:t>Podkomponenta</w:t>
      </w:r>
      <w:proofErr w:type="spellEnd"/>
      <w:r w:rsidRPr="002B4A14">
        <w:rPr>
          <w:rFonts w:ascii="Arial" w:hAnsi="Arial" w:cs="Arial"/>
          <w:b/>
          <w:bCs/>
          <w:szCs w:val="24"/>
        </w:rPr>
        <w:t xml:space="preserve"> 2A: </w:t>
      </w:r>
      <w:proofErr w:type="spellStart"/>
      <w:r w:rsidRPr="002B4A14">
        <w:rPr>
          <w:rFonts w:ascii="Arial" w:hAnsi="Arial" w:cs="Arial"/>
          <w:b/>
          <w:bCs/>
          <w:szCs w:val="24"/>
        </w:rPr>
        <w:t>Rehabilitacija</w:t>
      </w:r>
      <w:proofErr w:type="spellEnd"/>
      <w:r w:rsidRPr="002B4A14">
        <w:rPr>
          <w:rFonts w:ascii="Arial" w:hAnsi="Arial" w:cs="Arial"/>
          <w:b/>
          <w:bCs/>
          <w:szCs w:val="24"/>
        </w:rPr>
        <w:t xml:space="preserve"> </w:t>
      </w:r>
      <w:proofErr w:type="spellStart"/>
      <w:r w:rsidRPr="002B4A14">
        <w:rPr>
          <w:rFonts w:ascii="Arial" w:hAnsi="Arial" w:cs="Arial"/>
          <w:b/>
          <w:bCs/>
          <w:szCs w:val="24"/>
        </w:rPr>
        <w:t>regionalne</w:t>
      </w:r>
      <w:proofErr w:type="spellEnd"/>
      <w:r w:rsidRPr="002B4A14">
        <w:rPr>
          <w:rFonts w:ascii="Arial" w:hAnsi="Arial" w:cs="Arial"/>
          <w:b/>
          <w:bCs/>
          <w:szCs w:val="24"/>
        </w:rPr>
        <w:t xml:space="preserve"> </w:t>
      </w:r>
      <w:proofErr w:type="spellStart"/>
      <w:r>
        <w:rPr>
          <w:rFonts w:ascii="Arial" w:hAnsi="Arial" w:cs="Arial"/>
          <w:b/>
          <w:bCs/>
          <w:szCs w:val="24"/>
        </w:rPr>
        <w:t>infrastrukture</w:t>
      </w:r>
      <w:proofErr w:type="spellEnd"/>
    </w:p>
    <w:p w:rsidR="00F26574" w:rsidRDefault="00F26574" w:rsidP="00F26574">
      <w:pPr>
        <w:pStyle w:val="Default"/>
        <w:numPr>
          <w:ilvl w:val="0"/>
          <w:numId w:val="4"/>
        </w:numPr>
        <w:ind w:left="284" w:hanging="284"/>
        <w:jc w:val="both"/>
        <w:rPr>
          <w:rFonts w:ascii="Arial" w:hAnsi="Arial" w:cs="Arial"/>
        </w:rPr>
      </w:pPr>
      <w:r w:rsidRPr="002B4A14">
        <w:rPr>
          <w:rFonts w:ascii="Arial" w:hAnsi="Arial" w:cs="Arial"/>
          <w:b/>
          <w:bCs/>
        </w:rPr>
        <w:t xml:space="preserve">Alokacija sredstava. </w:t>
      </w:r>
      <w:r w:rsidRPr="002B4A14">
        <w:rPr>
          <w:rFonts w:ascii="Arial" w:hAnsi="Arial" w:cs="Arial"/>
        </w:rPr>
        <w:t xml:space="preserve">Iako je Procjena potreba za oporavkom </w:t>
      </w:r>
      <w:r>
        <w:rPr>
          <w:rFonts w:ascii="Arial" w:hAnsi="Arial" w:cs="Arial"/>
        </w:rPr>
        <w:t>u toku dizajniranja projekta bila u toku</w:t>
      </w:r>
      <w:r w:rsidRPr="002B4A14">
        <w:rPr>
          <w:rFonts w:ascii="Arial" w:hAnsi="Arial" w:cs="Arial"/>
        </w:rPr>
        <w:t xml:space="preserve">, već </w:t>
      </w:r>
      <w:r>
        <w:rPr>
          <w:rFonts w:ascii="Arial" w:hAnsi="Arial" w:cs="Arial"/>
        </w:rPr>
        <w:t xml:space="preserve">tada </w:t>
      </w:r>
      <w:r w:rsidRPr="002B4A14">
        <w:rPr>
          <w:rFonts w:ascii="Arial" w:hAnsi="Arial" w:cs="Arial"/>
        </w:rPr>
        <w:t>je</w:t>
      </w:r>
      <w:r>
        <w:rPr>
          <w:rFonts w:ascii="Arial" w:hAnsi="Arial" w:cs="Arial"/>
        </w:rPr>
        <w:t xml:space="preserve"> bilo</w:t>
      </w:r>
      <w:r w:rsidRPr="002B4A14">
        <w:rPr>
          <w:rFonts w:ascii="Arial" w:hAnsi="Arial" w:cs="Arial"/>
        </w:rPr>
        <w:t xml:space="preserve"> jasno da je javna infrastruktura najteže pogođena u sektorima transporta, energetike, zaštite od poplava i u manjoj mjeri javni objekti (bolnice, škole, administrativne zgrade). Na osnovu raspolož</w:t>
      </w:r>
      <w:r>
        <w:rPr>
          <w:rFonts w:ascii="Arial" w:hAnsi="Arial" w:cs="Arial"/>
        </w:rPr>
        <w:t>ivih informacija, Federalno min</w:t>
      </w:r>
      <w:r w:rsidRPr="002B4A14">
        <w:rPr>
          <w:rFonts w:ascii="Arial" w:hAnsi="Arial" w:cs="Arial"/>
        </w:rPr>
        <w:t>i</w:t>
      </w:r>
      <w:r>
        <w:rPr>
          <w:rFonts w:ascii="Arial" w:hAnsi="Arial" w:cs="Arial"/>
        </w:rPr>
        <w:t xml:space="preserve">starstvo finansija-finacija je, u saradnji sa resornim ministarstvima, tokom nedavnih diskusija Svjetskoj banci </w:t>
      </w:r>
      <w:r w:rsidRPr="002B4A14">
        <w:rPr>
          <w:rFonts w:ascii="Arial" w:hAnsi="Arial" w:cs="Arial"/>
        </w:rPr>
        <w:t>predlož</w:t>
      </w:r>
      <w:r>
        <w:rPr>
          <w:rFonts w:ascii="Arial" w:hAnsi="Arial" w:cs="Arial"/>
        </w:rPr>
        <w:t>ilo</w:t>
      </w:r>
      <w:r w:rsidRPr="002B4A14">
        <w:rPr>
          <w:rFonts w:ascii="Arial" w:hAnsi="Arial" w:cs="Arial"/>
        </w:rPr>
        <w:t xml:space="preserve"> sljedeću okvirnu aloka</w:t>
      </w:r>
      <w:r>
        <w:rPr>
          <w:rFonts w:ascii="Arial" w:hAnsi="Arial" w:cs="Arial"/>
        </w:rPr>
        <w:t>ciju sredstava za Komponentu 2A</w:t>
      </w:r>
      <w:r w:rsidRPr="002B4A14">
        <w:rPr>
          <w:rFonts w:ascii="Arial" w:hAnsi="Arial" w:cs="Arial"/>
        </w:rPr>
        <w:t xml:space="preserve"> </w:t>
      </w:r>
      <w:r>
        <w:rPr>
          <w:rFonts w:ascii="Arial" w:hAnsi="Arial" w:cs="Arial"/>
        </w:rPr>
        <w:t xml:space="preserve">koju, </w:t>
      </w:r>
      <w:r w:rsidRPr="002B4A14">
        <w:rPr>
          <w:rFonts w:ascii="Arial" w:hAnsi="Arial" w:cs="Arial"/>
        </w:rPr>
        <w:t xml:space="preserve"> kada za to dođe vrijeme, </w:t>
      </w:r>
      <w:r>
        <w:rPr>
          <w:rFonts w:ascii="Arial" w:hAnsi="Arial" w:cs="Arial"/>
        </w:rPr>
        <w:t>treba da potvrditi i Nadzorni odbor projekta</w:t>
      </w:r>
      <w:r w:rsidRPr="002B4A14">
        <w:rPr>
          <w:rFonts w:ascii="Arial" w:hAnsi="Arial" w:cs="Arial"/>
        </w:rPr>
        <w:t xml:space="preserve">. </w:t>
      </w:r>
    </w:p>
    <w:p w:rsidR="00F26574" w:rsidRDefault="00F26574" w:rsidP="00F26574">
      <w:pPr>
        <w:pStyle w:val="Default"/>
        <w:ind w:left="284"/>
        <w:jc w:val="both"/>
        <w:rPr>
          <w:rFonts w:ascii="Arial" w:hAnsi="Arial" w:cs="Arial"/>
          <w:b/>
          <w:bCs/>
        </w:rPr>
      </w:pPr>
    </w:p>
    <w:p w:rsidR="00F26574" w:rsidRDefault="00F26574" w:rsidP="00F26574">
      <w:pPr>
        <w:pStyle w:val="Default"/>
        <w:ind w:left="284"/>
        <w:jc w:val="both"/>
        <w:rPr>
          <w:rFonts w:ascii="Arial" w:hAnsi="Arial" w:cs="Arial"/>
          <w:bCs/>
        </w:rPr>
      </w:pPr>
      <w:r w:rsidRPr="00F81ED2">
        <w:rPr>
          <w:rFonts w:ascii="Arial" w:hAnsi="Arial" w:cs="Arial"/>
          <w:bCs/>
        </w:rPr>
        <w:t>Sveukupna alokacija za Federaciju BiH</w:t>
      </w:r>
      <w:r>
        <w:rPr>
          <w:rFonts w:ascii="Arial" w:hAnsi="Arial" w:cs="Arial"/>
          <w:bCs/>
        </w:rPr>
        <w:t xml:space="preserve"> u okviru ove komponente  iznosi 14,25 mil USD, a predložena  je sljedeća raspodjela sredstva:</w:t>
      </w:r>
    </w:p>
    <w:p w:rsidR="00F26574" w:rsidRDefault="00F26574" w:rsidP="00F26574">
      <w:pPr>
        <w:pStyle w:val="Default"/>
        <w:numPr>
          <w:ilvl w:val="0"/>
          <w:numId w:val="3"/>
        </w:numPr>
        <w:jc w:val="both"/>
        <w:rPr>
          <w:rFonts w:ascii="Arial" w:hAnsi="Arial" w:cs="Arial"/>
        </w:rPr>
      </w:pPr>
      <w:r>
        <w:rPr>
          <w:rFonts w:ascii="Arial" w:hAnsi="Arial" w:cs="Arial"/>
        </w:rPr>
        <w:t>Sektor transporta -10,7 mil USD ili 15,28 mil KM (jednaka raspodjela sredstava između JP Ceste Federacije BiH i JP Željeznice FBiH);</w:t>
      </w:r>
    </w:p>
    <w:p w:rsidR="00F26574" w:rsidRDefault="00F26574" w:rsidP="00F26574">
      <w:pPr>
        <w:pStyle w:val="Default"/>
        <w:numPr>
          <w:ilvl w:val="0"/>
          <w:numId w:val="3"/>
        </w:numPr>
        <w:jc w:val="both"/>
        <w:rPr>
          <w:rFonts w:ascii="Arial" w:hAnsi="Arial" w:cs="Arial"/>
        </w:rPr>
      </w:pPr>
      <w:r>
        <w:rPr>
          <w:rFonts w:ascii="Arial" w:hAnsi="Arial" w:cs="Arial"/>
        </w:rPr>
        <w:t xml:space="preserve">Sektor zaštite od poplava -2,3 mil USD ili </w:t>
      </w:r>
      <w:r>
        <w:rPr>
          <w:rFonts w:ascii="Arial" w:hAnsi="Arial" w:cs="Arial"/>
          <w:lang w:eastAsia="bs-Latn-BA"/>
        </w:rPr>
        <w:t>3,28 mil KM</w:t>
      </w:r>
      <w:r>
        <w:rPr>
          <w:rFonts w:ascii="Arial" w:hAnsi="Arial" w:cs="Arial"/>
        </w:rPr>
        <w:t xml:space="preserve"> (korisnik Agencija za vodno područje rijeke Save);</w:t>
      </w:r>
    </w:p>
    <w:p w:rsidR="00F26574" w:rsidRDefault="00F26574" w:rsidP="00F26574">
      <w:pPr>
        <w:pStyle w:val="Default"/>
        <w:numPr>
          <w:ilvl w:val="0"/>
          <w:numId w:val="3"/>
        </w:numPr>
        <w:jc w:val="both"/>
        <w:rPr>
          <w:rFonts w:ascii="Arial" w:hAnsi="Arial" w:cs="Arial"/>
        </w:rPr>
      </w:pPr>
      <w:r>
        <w:rPr>
          <w:rFonts w:ascii="Arial" w:hAnsi="Arial" w:cs="Arial"/>
        </w:rPr>
        <w:lastRenderedPageBreak/>
        <w:t xml:space="preserve">Ostala javna infrastruktura – 1,25 mil USD ili </w:t>
      </w:r>
      <w:r>
        <w:rPr>
          <w:rFonts w:ascii="Arial" w:hAnsi="Arial" w:cs="Arial"/>
          <w:lang w:eastAsia="bs-Latn-BA"/>
        </w:rPr>
        <w:t>1,78 mil KM</w:t>
      </w:r>
      <w:r>
        <w:rPr>
          <w:rFonts w:ascii="Arial" w:hAnsi="Arial" w:cs="Arial"/>
        </w:rPr>
        <w:t xml:space="preserve"> (sanitanje šteta na objektima Porezne uprave FBiH i drugim administrativnim objektima koji su u nadležnosti Federacije BiH).</w:t>
      </w:r>
    </w:p>
    <w:p w:rsidR="00F26574" w:rsidRDefault="00F26574" w:rsidP="00F26574">
      <w:pPr>
        <w:pStyle w:val="Default"/>
        <w:jc w:val="both"/>
        <w:rPr>
          <w:rFonts w:ascii="Arial" w:eastAsia="Times New Roman" w:hAnsi="Arial" w:cs="Arial"/>
          <w:color w:val="auto"/>
          <w:lang w:val="hr-BA"/>
        </w:rPr>
      </w:pPr>
    </w:p>
    <w:p w:rsidR="00F26574" w:rsidRPr="00F81ED2" w:rsidRDefault="00F26574" w:rsidP="00F26574">
      <w:pPr>
        <w:pStyle w:val="Default"/>
        <w:jc w:val="both"/>
        <w:rPr>
          <w:rFonts w:ascii="Arial" w:hAnsi="Arial" w:cs="Arial"/>
        </w:rPr>
      </w:pPr>
      <w:r w:rsidRPr="00F81ED2">
        <w:rPr>
          <w:rFonts w:ascii="Arial" w:hAnsi="Arial" w:cs="Arial"/>
        </w:rPr>
        <w:t>Ispod su navedeni sljedeći koraci za Komponentu 2A. Principijelni dogovor je da se tokom naredne misije izvrši evaluacija i odluči kako vršiti obradu svake aktivnosti, međ</w:t>
      </w:r>
      <w:r>
        <w:rPr>
          <w:rFonts w:ascii="Arial" w:hAnsi="Arial" w:cs="Arial"/>
        </w:rPr>
        <w:t>utim, tim Svjetske b</w:t>
      </w:r>
      <w:r w:rsidRPr="00F81ED2">
        <w:rPr>
          <w:rFonts w:ascii="Arial" w:hAnsi="Arial" w:cs="Arial"/>
        </w:rPr>
        <w:t xml:space="preserve">anke je naveo da je spreman to razmotriti i ranije putem video-konferencije, ako domaći partneri budu spremni. </w:t>
      </w:r>
    </w:p>
    <w:p w:rsidR="00F26574" w:rsidRDefault="00F26574" w:rsidP="00F26574">
      <w:pPr>
        <w:pStyle w:val="Default"/>
        <w:numPr>
          <w:ilvl w:val="0"/>
          <w:numId w:val="3"/>
        </w:numPr>
        <w:spacing w:after="107"/>
        <w:jc w:val="both"/>
        <w:rPr>
          <w:rFonts w:ascii="Arial" w:hAnsi="Arial" w:cs="Arial"/>
        </w:rPr>
      </w:pPr>
      <w:r>
        <w:rPr>
          <w:rFonts w:ascii="Arial" w:hAnsi="Arial" w:cs="Arial"/>
        </w:rPr>
        <w:t>Informacije o alokacijama već su proslijeđene</w:t>
      </w:r>
      <w:r w:rsidRPr="00F81ED2">
        <w:rPr>
          <w:rFonts w:ascii="Arial" w:hAnsi="Arial" w:cs="Arial"/>
        </w:rPr>
        <w:t xml:space="preserve"> resornim ministarstvima i nadležnim institucijama. </w:t>
      </w:r>
    </w:p>
    <w:p w:rsidR="00F26574" w:rsidRDefault="00F26574" w:rsidP="00F26574">
      <w:pPr>
        <w:pStyle w:val="Default"/>
        <w:numPr>
          <w:ilvl w:val="0"/>
          <w:numId w:val="3"/>
        </w:numPr>
        <w:spacing w:after="107"/>
        <w:jc w:val="both"/>
        <w:rPr>
          <w:rFonts w:ascii="Arial" w:hAnsi="Arial" w:cs="Arial"/>
        </w:rPr>
      </w:pPr>
      <w:r w:rsidRPr="00DB190D">
        <w:rPr>
          <w:rFonts w:ascii="Arial" w:hAnsi="Arial" w:cs="Arial"/>
        </w:rPr>
        <w:t xml:space="preserve">Institucije nadležne za svaku alokaciju trebaju definirati svoje glavne prioritete i dostaviti ih </w:t>
      </w:r>
      <w:r>
        <w:rPr>
          <w:rFonts w:ascii="Arial" w:hAnsi="Arial" w:cs="Arial"/>
        </w:rPr>
        <w:t>Svjetskoj banci, PIU-u i m</w:t>
      </w:r>
      <w:r w:rsidRPr="00DB190D">
        <w:rPr>
          <w:rFonts w:ascii="Arial" w:hAnsi="Arial" w:cs="Arial"/>
        </w:rPr>
        <w:t>inistarstvu finan</w:t>
      </w:r>
      <w:r>
        <w:rPr>
          <w:rFonts w:ascii="Arial" w:hAnsi="Arial" w:cs="Arial"/>
        </w:rPr>
        <w:t>s</w:t>
      </w:r>
      <w:r w:rsidRPr="00DB190D">
        <w:rPr>
          <w:rFonts w:ascii="Arial" w:hAnsi="Arial" w:cs="Arial"/>
        </w:rPr>
        <w:t xml:space="preserve">ija; ti prioriteti trebaju biti u skladu s Projektnim kriterijima podobnosti i sveukupnom Procjenom potreba za oporavkom. </w:t>
      </w:r>
    </w:p>
    <w:p w:rsidR="00F26574" w:rsidRPr="00F26574" w:rsidRDefault="00F26574" w:rsidP="00F26574">
      <w:pPr>
        <w:pStyle w:val="Default"/>
        <w:numPr>
          <w:ilvl w:val="0"/>
          <w:numId w:val="3"/>
        </w:numPr>
        <w:spacing w:after="107"/>
        <w:jc w:val="both"/>
        <w:rPr>
          <w:rFonts w:ascii="Arial" w:hAnsi="Arial" w:cs="Arial"/>
        </w:rPr>
      </w:pPr>
      <w:r w:rsidRPr="00DB190D">
        <w:rPr>
          <w:rFonts w:ascii="Arial" w:hAnsi="Arial" w:cs="Arial"/>
        </w:rPr>
        <w:t xml:space="preserve">Zajednički sastanak osoblja zaduženog za stručne, nabavne i aspekte okolišnih i socijalnih zaštitnih politika sa strane </w:t>
      </w:r>
      <w:r>
        <w:rPr>
          <w:rFonts w:ascii="Arial" w:hAnsi="Arial" w:cs="Arial"/>
        </w:rPr>
        <w:t xml:space="preserve">Svjetske banke i korisnika </w:t>
      </w:r>
      <w:r w:rsidRPr="00F26574">
        <w:rPr>
          <w:rFonts w:ascii="Arial" w:hAnsi="Arial" w:cs="Arial"/>
        </w:rPr>
        <w:t xml:space="preserve">treba biti organiziran za svaki sektor, bilo tokom naredne misije, ili ako bude hitno prije toga, putem video-konferencije, da bi se dogovorili: a) tehnički obim i ima li potrebe za daljom projektnom dokumentacijom; b) metod nabavke za svaku aktivnost; c) okolišna provjera i mjere, ako je potrebno. </w:t>
      </w:r>
    </w:p>
    <w:p w:rsidR="00F26574" w:rsidRPr="00DF270C" w:rsidRDefault="00F26574" w:rsidP="00F26574">
      <w:pPr>
        <w:pStyle w:val="Default"/>
        <w:numPr>
          <w:ilvl w:val="0"/>
          <w:numId w:val="3"/>
        </w:numPr>
        <w:spacing w:after="107"/>
        <w:jc w:val="both"/>
        <w:rPr>
          <w:rFonts w:ascii="Arial" w:hAnsi="Arial" w:cs="Arial"/>
        </w:rPr>
      </w:pPr>
      <w:r w:rsidRPr="00DB190D">
        <w:rPr>
          <w:rFonts w:ascii="Arial" w:hAnsi="Arial" w:cs="Arial"/>
        </w:rPr>
        <w:t xml:space="preserve">Za aktivnosti koje su dogovorene da krenu odmah, relevantna institucija i PIU trebaju zajedno raditi na pripremi ponudbene dokumentacije, pri čemu je resorna institucija zadužena za stručne aspekte, a PIU za nabavku i sveukupan proces. </w:t>
      </w:r>
    </w:p>
    <w:p w:rsidR="00F26574" w:rsidRPr="00F81ED2" w:rsidRDefault="00F26574" w:rsidP="00F26574">
      <w:pPr>
        <w:pStyle w:val="Default"/>
        <w:jc w:val="both"/>
        <w:rPr>
          <w:rFonts w:ascii="Arial" w:hAnsi="Arial" w:cs="Arial"/>
        </w:rPr>
      </w:pPr>
    </w:p>
    <w:p w:rsidR="00F26574" w:rsidRPr="00DB190D" w:rsidRDefault="00F26574" w:rsidP="00F26574">
      <w:pPr>
        <w:pStyle w:val="Default"/>
        <w:rPr>
          <w:rFonts w:ascii="Arial" w:hAnsi="Arial" w:cs="Arial"/>
        </w:rPr>
      </w:pPr>
      <w:r w:rsidRPr="00DB190D">
        <w:rPr>
          <w:rFonts w:ascii="Arial" w:hAnsi="Arial" w:cs="Arial"/>
          <w:b/>
          <w:bCs/>
        </w:rPr>
        <w:t xml:space="preserve">Podkomponenta 2B: Rehabilitacija lokalne infrastrukture </w:t>
      </w:r>
    </w:p>
    <w:p w:rsidR="00F26574" w:rsidRDefault="00F26574" w:rsidP="00F26574">
      <w:pPr>
        <w:pStyle w:val="BankNormal"/>
        <w:jc w:val="both"/>
        <w:rPr>
          <w:rFonts w:ascii="Arial" w:hAnsi="Arial" w:cs="Arial"/>
          <w:szCs w:val="24"/>
          <w:lang w:val="bs-Latn-BA"/>
        </w:rPr>
      </w:pPr>
      <w:r w:rsidRPr="00DB190D">
        <w:rPr>
          <w:rFonts w:ascii="Arial" w:hAnsi="Arial" w:cs="Arial"/>
          <w:b/>
          <w:bCs/>
          <w:szCs w:val="24"/>
          <w:lang w:val="bs-Latn-BA"/>
        </w:rPr>
        <w:t xml:space="preserve">4. Alokacija sredstava. </w:t>
      </w:r>
      <w:r w:rsidRPr="00DB190D">
        <w:rPr>
          <w:rFonts w:ascii="Arial" w:hAnsi="Arial" w:cs="Arial"/>
          <w:szCs w:val="24"/>
          <w:lang w:val="bs-Latn-BA"/>
        </w:rPr>
        <w:t>Kako je dogovoreno tokom pripreme Projekta, izbor najteže pogođenih općina će biti zasnovan na obimu štete po glavi stanovnika, a alokacija sredstava između najteže pogođenih općina će biti zasnovana na obimu štete, sveukupnom broju stanovnika i stepenu razvijenosti ili siromaštva. Na osnovu okvirne Procjene potreba za oporavkom (naročito šteta na stambenom fondu po općinama), kao i dodatnih informacija koje su d</w:t>
      </w:r>
      <w:r>
        <w:rPr>
          <w:rFonts w:ascii="Arial" w:hAnsi="Arial" w:cs="Arial"/>
          <w:szCs w:val="24"/>
          <w:lang w:val="bs-Latn-BA"/>
        </w:rPr>
        <w:t>ali entiteti, tim Svjetske b</w:t>
      </w:r>
      <w:r w:rsidRPr="00DB190D">
        <w:rPr>
          <w:rFonts w:ascii="Arial" w:hAnsi="Arial" w:cs="Arial"/>
          <w:szCs w:val="24"/>
          <w:lang w:val="bs-Latn-BA"/>
        </w:rPr>
        <w:t xml:space="preserve">anke je pripremio i dostavio entitetskim </w:t>
      </w:r>
      <w:r>
        <w:rPr>
          <w:rFonts w:ascii="Arial" w:hAnsi="Arial" w:cs="Arial"/>
          <w:szCs w:val="24"/>
          <w:lang w:val="bs-Latn-BA"/>
        </w:rPr>
        <w:t>ministarstvima finans</w:t>
      </w:r>
      <w:r w:rsidRPr="00DB190D">
        <w:rPr>
          <w:rFonts w:ascii="Arial" w:hAnsi="Arial" w:cs="Arial"/>
          <w:szCs w:val="24"/>
          <w:lang w:val="bs-Latn-BA"/>
        </w:rPr>
        <w:t>ija jednostavan model s parametrima koji se može koristiti za identifikaciju i alokaciju sredstava između najteže pogođenih općina.</w:t>
      </w:r>
    </w:p>
    <w:p w:rsidR="00F26574" w:rsidRPr="00DB190D" w:rsidRDefault="00F26574" w:rsidP="00F26574">
      <w:pPr>
        <w:pStyle w:val="Default"/>
        <w:jc w:val="both"/>
        <w:rPr>
          <w:rFonts w:ascii="Arial" w:hAnsi="Arial" w:cs="Arial"/>
        </w:rPr>
      </w:pPr>
      <w:r w:rsidRPr="00DB190D">
        <w:rPr>
          <w:rFonts w:ascii="Arial" w:hAnsi="Arial" w:cs="Arial"/>
        </w:rPr>
        <w:t xml:space="preserve">Sljedeći koraci za Komponentu 2B su: </w:t>
      </w:r>
    </w:p>
    <w:p w:rsidR="00F26574" w:rsidRDefault="00F26574" w:rsidP="00F26574">
      <w:pPr>
        <w:pStyle w:val="Default"/>
        <w:numPr>
          <w:ilvl w:val="0"/>
          <w:numId w:val="3"/>
        </w:numPr>
        <w:spacing w:after="107"/>
        <w:jc w:val="both"/>
        <w:rPr>
          <w:rFonts w:ascii="Arial" w:hAnsi="Arial" w:cs="Arial"/>
        </w:rPr>
      </w:pPr>
      <w:r w:rsidRPr="00DB190D">
        <w:rPr>
          <w:rFonts w:ascii="Arial" w:hAnsi="Arial" w:cs="Arial"/>
        </w:rPr>
        <w:t xml:space="preserve"> Alokacija sredstava između općina treba biti završena i potvrđ</w:t>
      </w:r>
      <w:r>
        <w:rPr>
          <w:rFonts w:ascii="Arial" w:hAnsi="Arial" w:cs="Arial"/>
        </w:rPr>
        <w:t>ena od strane ministarstva finansija (ili Nadzornog odbora projekta, kada</w:t>
      </w:r>
      <w:r w:rsidRPr="00DB190D">
        <w:rPr>
          <w:rFonts w:ascii="Arial" w:hAnsi="Arial" w:cs="Arial"/>
        </w:rPr>
        <w:t xml:space="preserve"> bude uspostavljen); </w:t>
      </w:r>
    </w:p>
    <w:p w:rsidR="00F26574" w:rsidRDefault="00F26574" w:rsidP="00F26574">
      <w:pPr>
        <w:pStyle w:val="Default"/>
        <w:numPr>
          <w:ilvl w:val="0"/>
          <w:numId w:val="3"/>
        </w:numPr>
        <w:spacing w:after="107"/>
        <w:jc w:val="both"/>
        <w:rPr>
          <w:rFonts w:ascii="Arial" w:hAnsi="Arial" w:cs="Arial"/>
        </w:rPr>
      </w:pPr>
      <w:r w:rsidRPr="00DB190D">
        <w:rPr>
          <w:rFonts w:ascii="Arial" w:hAnsi="Arial" w:cs="Arial"/>
        </w:rPr>
        <w:t xml:space="preserve">Općine trebaju biti obaviještene o alociranim sredstvima, kao i o kriterijima podobnosti za aktivnosti na lokalnom nivou; </w:t>
      </w:r>
    </w:p>
    <w:p w:rsidR="00F26574" w:rsidRDefault="00F26574" w:rsidP="00F26574">
      <w:pPr>
        <w:pStyle w:val="Default"/>
        <w:numPr>
          <w:ilvl w:val="0"/>
          <w:numId w:val="3"/>
        </w:numPr>
        <w:spacing w:after="107"/>
        <w:jc w:val="both"/>
        <w:rPr>
          <w:rFonts w:ascii="Arial" w:hAnsi="Arial" w:cs="Arial"/>
        </w:rPr>
      </w:pPr>
      <w:r w:rsidRPr="00DB190D">
        <w:rPr>
          <w:rFonts w:ascii="Arial" w:hAnsi="Arial" w:cs="Arial"/>
        </w:rPr>
        <w:t xml:space="preserve">Općine trebaju pripremiti prvu listu potencijalnih aktivnosti i razmotriti je s odnosnim PIU-om da bi potvrdili njihovu generalnu podobnost; </w:t>
      </w:r>
    </w:p>
    <w:p w:rsidR="00F26574" w:rsidRDefault="00F26574" w:rsidP="00F26574">
      <w:pPr>
        <w:pStyle w:val="Default"/>
        <w:numPr>
          <w:ilvl w:val="0"/>
          <w:numId w:val="3"/>
        </w:numPr>
        <w:spacing w:after="107"/>
        <w:jc w:val="both"/>
        <w:rPr>
          <w:rFonts w:ascii="Arial" w:hAnsi="Arial" w:cs="Arial"/>
        </w:rPr>
      </w:pPr>
      <w:r w:rsidRPr="00DB190D">
        <w:rPr>
          <w:rFonts w:ascii="Arial" w:hAnsi="Arial" w:cs="Arial"/>
        </w:rPr>
        <w:t>Za svaku aktivnost treba pripremiti obrazac aktivnosti prije finalnog pregleda od strane PIU-a i potvrde od strane Nadzornog odbora</w:t>
      </w:r>
      <w:r>
        <w:rPr>
          <w:rFonts w:ascii="Arial" w:hAnsi="Arial" w:cs="Arial"/>
        </w:rPr>
        <w:t xml:space="preserve"> projekta</w:t>
      </w:r>
      <w:r w:rsidRPr="00DB190D">
        <w:rPr>
          <w:rFonts w:ascii="Arial" w:hAnsi="Arial" w:cs="Arial"/>
        </w:rPr>
        <w:t xml:space="preserve">; </w:t>
      </w:r>
    </w:p>
    <w:p w:rsidR="00F26574" w:rsidRPr="00DB190D" w:rsidRDefault="00F26574" w:rsidP="00F26574">
      <w:pPr>
        <w:pStyle w:val="Default"/>
        <w:numPr>
          <w:ilvl w:val="0"/>
          <w:numId w:val="3"/>
        </w:numPr>
        <w:spacing w:after="107"/>
        <w:jc w:val="both"/>
        <w:rPr>
          <w:rFonts w:ascii="Arial" w:hAnsi="Arial" w:cs="Arial"/>
        </w:rPr>
      </w:pPr>
      <w:r>
        <w:rPr>
          <w:rFonts w:ascii="Arial" w:hAnsi="Arial" w:cs="Arial"/>
        </w:rPr>
        <w:lastRenderedPageBreak/>
        <w:t>PIU</w:t>
      </w:r>
      <w:r w:rsidRPr="00DB190D">
        <w:rPr>
          <w:rFonts w:ascii="Arial" w:hAnsi="Arial" w:cs="Arial"/>
        </w:rPr>
        <w:t xml:space="preserve"> će paralelno nastaviti s timom </w:t>
      </w:r>
      <w:r>
        <w:rPr>
          <w:rFonts w:ascii="Arial" w:hAnsi="Arial" w:cs="Arial"/>
        </w:rPr>
        <w:t>Svjetske b</w:t>
      </w:r>
      <w:r w:rsidRPr="00DB190D">
        <w:rPr>
          <w:rFonts w:ascii="Arial" w:hAnsi="Arial" w:cs="Arial"/>
        </w:rPr>
        <w:t xml:space="preserve">anke razgovore kako najbolje grupirati, uraditi projekte, nabaviti i vršiti nadzor nad aktivnostima na lokalnom nivou. </w:t>
      </w:r>
    </w:p>
    <w:p w:rsidR="00F26574" w:rsidRPr="00DB190D" w:rsidRDefault="00F26574" w:rsidP="00F26574">
      <w:pPr>
        <w:pStyle w:val="Default"/>
        <w:rPr>
          <w:rFonts w:ascii="Arial" w:hAnsi="Arial" w:cs="Arial"/>
        </w:rPr>
      </w:pPr>
    </w:p>
    <w:p w:rsidR="00F26574" w:rsidRPr="00DB190D" w:rsidRDefault="00F26574" w:rsidP="00F26574">
      <w:pPr>
        <w:pStyle w:val="Default"/>
        <w:rPr>
          <w:rFonts w:ascii="Arial" w:hAnsi="Arial" w:cs="Arial"/>
        </w:rPr>
      </w:pPr>
      <w:r w:rsidRPr="00DB190D">
        <w:rPr>
          <w:rFonts w:ascii="Arial" w:hAnsi="Arial" w:cs="Arial"/>
          <w:b/>
          <w:bCs/>
        </w:rPr>
        <w:t xml:space="preserve">KOMPONENTA 3: PODRŠKA ZA IMPLEMENTACIJU PROJEKTA I IZGRADNJA KAPACITETA </w:t>
      </w:r>
    </w:p>
    <w:p w:rsidR="00F26574" w:rsidRPr="00DB190D" w:rsidRDefault="00F26574" w:rsidP="00F26574">
      <w:pPr>
        <w:pStyle w:val="Default"/>
        <w:rPr>
          <w:rFonts w:ascii="Arial" w:hAnsi="Arial" w:cs="Arial"/>
        </w:rPr>
      </w:pPr>
      <w:r w:rsidRPr="00DB190D">
        <w:rPr>
          <w:rFonts w:ascii="Arial" w:hAnsi="Arial" w:cs="Arial"/>
          <w:b/>
          <w:bCs/>
        </w:rPr>
        <w:t xml:space="preserve">Podkomponenta 3A: Podrška za implementaciju projekta </w:t>
      </w:r>
    </w:p>
    <w:p w:rsidR="00F26574" w:rsidRPr="00F26574" w:rsidRDefault="00F26574" w:rsidP="00F26574">
      <w:pPr>
        <w:pStyle w:val="BankNormal"/>
        <w:jc w:val="both"/>
        <w:rPr>
          <w:rFonts w:ascii="Arial" w:hAnsi="Arial" w:cs="Arial"/>
          <w:szCs w:val="24"/>
          <w:lang w:val="bs-Latn-BA"/>
        </w:rPr>
      </w:pPr>
      <w:r w:rsidRPr="00640237">
        <w:rPr>
          <w:rFonts w:ascii="Arial" w:hAnsi="Arial" w:cs="Arial"/>
          <w:b/>
          <w:bCs/>
          <w:szCs w:val="24"/>
          <w:lang w:val="bs-Latn-BA"/>
        </w:rPr>
        <w:t xml:space="preserve">5. Operativni priručnik. </w:t>
      </w:r>
      <w:r w:rsidRPr="00640237">
        <w:rPr>
          <w:rFonts w:ascii="Arial" w:hAnsi="Arial" w:cs="Arial"/>
          <w:szCs w:val="24"/>
          <w:lang w:val="bs-Latn-BA"/>
        </w:rPr>
        <w:t xml:space="preserve">Priprema i usvajanje Operativnog priručnika je prioritet, obzirom da je on uslov za isplatu za Komponente 2 i 3.PIU će raditi na osnovu Projektnih priručnika za postojeće projekte koje financira Banka, kao i Dokumenta o procjeni projekta (PAD) i pripremiti poglavlja koja se odnose na Aranžmane implementacije i organizaciju PIU-a, nabavku, financijsko upravljanje, izvještavanje, monitoring i evaluaciju. Paralelno, tim </w:t>
      </w:r>
      <w:r>
        <w:rPr>
          <w:rFonts w:ascii="Arial" w:hAnsi="Arial" w:cs="Arial"/>
          <w:szCs w:val="24"/>
          <w:lang w:val="bs-Latn-BA"/>
        </w:rPr>
        <w:t>Svjetske b</w:t>
      </w:r>
      <w:r w:rsidRPr="00640237">
        <w:rPr>
          <w:rFonts w:ascii="Arial" w:hAnsi="Arial" w:cs="Arial"/>
          <w:szCs w:val="24"/>
          <w:lang w:val="bs-Latn-BA"/>
        </w:rPr>
        <w:t xml:space="preserve">anke se obavezao da će uraditi nacrt poglavlja o projektnom ciklusu i kriterijima podobnosti za Komponentu 2, na osnovu Dokumenta o procjeni projekta. Obje strane imaju za cilj da urade prvi nacrt </w:t>
      </w:r>
      <w:r>
        <w:rPr>
          <w:rFonts w:ascii="Arial" w:hAnsi="Arial" w:cs="Arial"/>
          <w:szCs w:val="24"/>
          <w:lang w:val="bs-Latn-BA"/>
        </w:rPr>
        <w:t>do 11.07.2014.</w:t>
      </w:r>
      <w:r w:rsidRPr="00640237">
        <w:rPr>
          <w:rFonts w:ascii="Arial" w:hAnsi="Arial" w:cs="Arial"/>
          <w:szCs w:val="24"/>
          <w:lang w:val="bs-Latn-BA"/>
        </w:rPr>
        <w:t xml:space="preserve">, tako da se sva otvorena pitanja, ako ih bude, mogu razmotriti tokom </w:t>
      </w:r>
      <w:r>
        <w:rPr>
          <w:rFonts w:ascii="Arial" w:hAnsi="Arial" w:cs="Arial"/>
          <w:szCs w:val="24"/>
          <w:lang w:val="bs-Latn-BA"/>
        </w:rPr>
        <w:t xml:space="preserve">naredne </w:t>
      </w:r>
      <w:r w:rsidRPr="00640237">
        <w:rPr>
          <w:rFonts w:ascii="Arial" w:hAnsi="Arial" w:cs="Arial"/>
          <w:szCs w:val="24"/>
          <w:lang w:val="bs-Latn-BA"/>
        </w:rPr>
        <w:t>misije.</w:t>
      </w:r>
    </w:p>
    <w:p w:rsidR="00F26574" w:rsidRDefault="00F26574" w:rsidP="00F26574">
      <w:pPr>
        <w:pStyle w:val="Default"/>
        <w:jc w:val="both"/>
        <w:rPr>
          <w:rFonts w:ascii="Arial" w:hAnsi="Arial" w:cs="Arial"/>
          <w:b/>
          <w:bCs/>
        </w:rPr>
      </w:pPr>
    </w:p>
    <w:p w:rsidR="00F26574" w:rsidRPr="00640237" w:rsidRDefault="00F26574" w:rsidP="00F26574">
      <w:pPr>
        <w:pStyle w:val="Default"/>
        <w:jc w:val="both"/>
        <w:rPr>
          <w:rFonts w:ascii="Arial" w:hAnsi="Arial" w:cs="Arial"/>
        </w:rPr>
      </w:pPr>
      <w:r>
        <w:rPr>
          <w:rFonts w:ascii="Arial" w:hAnsi="Arial" w:cs="Arial"/>
          <w:b/>
          <w:bCs/>
        </w:rPr>
        <w:t>6</w:t>
      </w:r>
      <w:r w:rsidRPr="00640237">
        <w:rPr>
          <w:rFonts w:ascii="Arial" w:hAnsi="Arial" w:cs="Arial"/>
          <w:b/>
          <w:bCs/>
        </w:rPr>
        <w:t xml:space="preserve">. Osoblje i jačanje PIU-a. </w:t>
      </w:r>
      <w:r w:rsidRPr="00640237">
        <w:rPr>
          <w:rFonts w:ascii="Arial" w:hAnsi="Arial" w:cs="Arial"/>
        </w:rPr>
        <w:t>Obzirom na značajan obim posla na implementaciji projekta, očekuje se da će biti potrebno jačanje postojeć</w:t>
      </w:r>
      <w:r>
        <w:rPr>
          <w:rFonts w:ascii="Arial" w:hAnsi="Arial" w:cs="Arial"/>
        </w:rPr>
        <w:t>eg</w:t>
      </w:r>
      <w:r w:rsidRPr="00640237">
        <w:rPr>
          <w:rFonts w:ascii="Arial" w:hAnsi="Arial" w:cs="Arial"/>
        </w:rPr>
        <w:t xml:space="preserve"> PIU-a, uključujući koordinatore projekta, kao i osoblje za okolišne i socijalne zaštitne politike, te po potrebi fiducijarno i operativno osoblje. Sljedeć</w:t>
      </w:r>
      <w:r>
        <w:rPr>
          <w:rFonts w:ascii="Arial" w:hAnsi="Arial" w:cs="Arial"/>
        </w:rPr>
        <w:t>i koraci koji su neophodni su</w:t>
      </w:r>
      <w:r w:rsidRPr="00640237">
        <w:rPr>
          <w:rFonts w:ascii="Arial" w:hAnsi="Arial" w:cs="Arial"/>
        </w:rPr>
        <w:t xml:space="preserve">: </w:t>
      </w:r>
    </w:p>
    <w:p w:rsidR="00F26574" w:rsidRDefault="00F26574" w:rsidP="00F26574">
      <w:pPr>
        <w:pStyle w:val="Default"/>
        <w:jc w:val="both"/>
        <w:rPr>
          <w:rFonts w:ascii="Arial" w:hAnsi="Arial" w:cs="Arial"/>
        </w:rPr>
      </w:pPr>
      <w:r>
        <w:rPr>
          <w:rFonts w:ascii="Arial" w:hAnsi="Arial" w:cs="Arial"/>
        </w:rPr>
        <w:t xml:space="preserve">- </w:t>
      </w:r>
      <w:r w:rsidRPr="00640237">
        <w:rPr>
          <w:rFonts w:ascii="Arial" w:hAnsi="Arial" w:cs="Arial"/>
        </w:rPr>
        <w:t xml:space="preserve">PIU će pripremiti i dostaviti Banci jednostavan plan jačanja i budžet PIU-a, koji će biti ugrađen u plan nabavke. </w:t>
      </w:r>
      <w:r>
        <w:rPr>
          <w:rFonts w:ascii="Arial" w:hAnsi="Arial" w:cs="Arial"/>
        </w:rPr>
        <w:t>Angažovanje</w:t>
      </w:r>
      <w:r w:rsidRPr="00640237">
        <w:rPr>
          <w:rFonts w:ascii="Arial" w:hAnsi="Arial" w:cs="Arial"/>
        </w:rPr>
        <w:t xml:space="preserve"> koordinatora projekta će biti odmah pokrenuto. </w:t>
      </w:r>
    </w:p>
    <w:p w:rsidR="00F26574" w:rsidRDefault="00F26574" w:rsidP="00F26574">
      <w:pPr>
        <w:autoSpaceDE w:val="0"/>
        <w:autoSpaceDN w:val="0"/>
        <w:adjustRightInd w:val="0"/>
        <w:jc w:val="both"/>
        <w:rPr>
          <w:rFonts w:ascii="Arial" w:hAnsi="Arial" w:cs="Arial"/>
          <w:lang w:val="hr-BA"/>
        </w:rPr>
      </w:pPr>
    </w:p>
    <w:p w:rsidR="00F26574" w:rsidRPr="00BA7885" w:rsidRDefault="00F26574" w:rsidP="00F26574">
      <w:pPr>
        <w:spacing w:line="240" w:lineRule="auto"/>
        <w:jc w:val="both"/>
        <w:rPr>
          <w:rFonts w:ascii="Arial" w:hAnsi="Arial" w:cs="Arial"/>
          <w:sz w:val="24"/>
          <w:szCs w:val="24"/>
        </w:rPr>
      </w:pPr>
      <w:r w:rsidRPr="00BA7885">
        <w:rPr>
          <w:rFonts w:ascii="Arial" w:hAnsi="Arial" w:cs="Arial"/>
          <w:sz w:val="24"/>
          <w:szCs w:val="24"/>
        </w:rPr>
        <w:t xml:space="preserve">Na </w:t>
      </w:r>
      <w:proofErr w:type="spellStart"/>
      <w:r w:rsidRPr="00BA7885">
        <w:rPr>
          <w:rFonts w:ascii="Arial" w:hAnsi="Arial" w:cs="Arial"/>
          <w:sz w:val="24"/>
          <w:szCs w:val="24"/>
        </w:rPr>
        <w:t>osnovu</w:t>
      </w:r>
      <w:proofErr w:type="spellEnd"/>
      <w:r w:rsidRPr="00BA7885">
        <w:rPr>
          <w:rFonts w:ascii="Arial" w:hAnsi="Arial" w:cs="Arial"/>
          <w:sz w:val="24"/>
          <w:szCs w:val="24"/>
        </w:rPr>
        <w:t xml:space="preserve"> </w:t>
      </w:r>
      <w:proofErr w:type="spellStart"/>
      <w:r w:rsidRPr="00BA7885">
        <w:rPr>
          <w:rFonts w:ascii="Arial" w:hAnsi="Arial" w:cs="Arial"/>
          <w:sz w:val="24"/>
          <w:szCs w:val="24"/>
        </w:rPr>
        <w:t>podataka</w:t>
      </w:r>
      <w:proofErr w:type="spellEnd"/>
      <w:r w:rsidRPr="00BA7885">
        <w:rPr>
          <w:rFonts w:ascii="Arial" w:hAnsi="Arial" w:cs="Arial"/>
          <w:sz w:val="24"/>
          <w:szCs w:val="24"/>
        </w:rPr>
        <w:t xml:space="preserve"> </w:t>
      </w:r>
      <w:proofErr w:type="gramStart"/>
      <w:r w:rsidRPr="00BA7885">
        <w:rPr>
          <w:rFonts w:ascii="Arial" w:hAnsi="Arial" w:cs="Arial"/>
          <w:sz w:val="24"/>
          <w:szCs w:val="24"/>
        </w:rPr>
        <w:t xml:space="preserve">o  </w:t>
      </w:r>
      <w:proofErr w:type="spellStart"/>
      <w:r w:rsidRPr="00BA7885">
        <w:rPr>
          <w:rFonts w:ascii="Arial" w:hAnsi="Arial" w:cs="Arial"/>
          <w:sz w:val="24"/>
          <w:szCs w:val="24"/>
        </w:rPr>
        <w:t>štetama</w:t>
      </w:r>
      <w:proofErr w:type="spellEnd"/>
      <w:proofErr w:type="gramEnd"/>
      <w:r w:rsidRPr="00BA7885">
        <w:rPr>
          <w:rFonts w:ascii="Arial" w:hAnsi="Arial" w:cs="Arial"/>
          <w:sz w:val="24"/>
          <w:szCs w:val="24"/>
        </w:rPr>
        <w:t xml:space="preserve"> </w:t>
      </w:r>
      <w:proofErr w:type="spellStart"/>
      <w:r w:rsidRPr="00BA7885">
        <w:rPr>
          <w:rFonts w:ascii="Arial" w:hAnsi="Arial" w:cs="Arial"/>
          <w:sz w:val="24"/>
          <w:szCs w:val="24"/>
        </w:rPr>
        <w:t>na</w:t>
      </w:r>
      <w:proofErr w:type="spellEnd"/>
      <w:r w:rsidRPr="00BA7885">
        <w:rPr>
          <w:rFonts w:ascii="Arial" w:hAnsi="Arial" w:cs="Arial"/>
          <w:sz w:val="24"/>
          <w:szCs w:val="24"/>
        </w:rPr>
        <w:t xml:space="preserve"> </w:t>
      </w:r>
      <w:proofErr w:type="spellStart"/>
      <w:r w:rsidRPr="00BA7885">
        <w:rPr>
          <w:rFonts w:ascii="Arial" w:hAnsi="Arial" w:cs="Arial"/>
          <w:sz w:val="24"/>
          <w:szCs w:val="24"/>
        </w:rPr>
        <w:t>području</w:t>
      </w:r>
      <w:proofErr w:type="spellEnd"/>
      <w:r w:rsidRPr="00BA7885">
        <w:rPr>
          <w:rFonts w:ascii="Arial" w:hAnsi="Arial" w:cs="Arial"/>
          <w:sz w:val="24"/>
          <w:szCs w:val="24"/>
        </w:rPr>
        <w:t xml:space="preserve"> </w:t>
      </w:r>
      <w:proofErr w:type="spellStart"/>
      <w:r w:rsidRPr="00BA7885">
        <w:rPr>
          <w:rFonts w:ascii="Arial" w:hAnsi="Arial" w:cs="Arial"/>
          <w:sz w:val="24"/>
          <w:szCs w:val="24"/>
        </w:rPr>
        <w:t>općina</w:t>
      </w:r>
      <w:proofErr w:type="spellEnd"/>
      <w:r w:rsidRPr="00BA7885">
        <w:rPr>
          <w:rFonts w:ascii="Arial" w:hAnsi="Arial" w:cs="Arial"/>
          <w:sz w:val="24"/>
          <w:szCs w:val="24"/>
        </w:rPr>
        <w:t xml:space="preserve"> </w:t>
      </w:r>
      <w:proofErr w:type="spellStart"/>
      <w:r w:rsidRPr="00BA7885">
        <w:rPr>
          <w:rFonts w:ascii="Arial" w:hAnsi="Arial" w:cs="Arial"/>
          <w:sz w:val="24"/>
          <w:szCs w:val="24"/>
        </w:rPr>
        <w:t>pogođenim</w:t>
      </w:r>
      <w:proofErr w:type="spellEnd"/>
      <w:r w:rsidRPr="00BA7885">
        <w:rPr>
          <w:rFonts w:ascii="Arial" w:hAnsi="Arial" w:cs="Arial"/>
          <w:sz w:val="24"/>
          <w:szCs w:val="24"/>
        </w:rPr>
        <w:t xml:space="preserve"> </w:t>
      </w:r>
      <w:proofErr w:type="spellStart"/>
      <w:r w:rsidRPr="00BA7885">
        <w:rPr>
          <w:rFonts w:ascii="Arial" w:hAnsi="Arial" w:cs="Arial"/>
          <w:sz w:val="24"/>
          <w:szCs w:val="24"/>
        </w:rPr>
        <w:t>elementarnim</w:t>
      </w:r>
      <w:proofErr w:type="spellEnd"/>
      <w:r w:rsidRPr="00BA7885">
        <w:rPr>
          <w:rFonts w:ascii="Arial" w:hAnsi="Arial" w:cs="Arial"/>
          <w:sz w:val="24"/>
          <w:szCs w:val="24"/>
        </w:rPr>
        <w:t xml:space="preserve"> </w:t>
      </w:r>
      <w:proofErr w:type="spellStart"/>
      <w:r w:rsidRPr="00BA7885">
        <w:rPr>
          <w:rFonts w:ascii="Arial" w:hAnsi="Arial" w:cs="Arial"/>
          <w:sz w:val="24"/>
          <w:szCs w:val="24"/>
        </w:rPr>
        <w:t>nepogodama</w:t>
      </w:r>
      <w:proofErr w:type="spellEnd"/>
      <w:r w:rsidRPr="00BA7885">
        <w:rPr>
          <w:rFonts w:ascii="Arial" w:hAnsi="Arial" w:cs="Arial"/>
          <w:sz w:val="24"/>
          <w:szCs w:val="24"/>
        </w:rPr>
        <w:t xml:space="preserve">, </w:t>
      </w:r>
      <w:proofErr w:type="spellStart"/>
      <w:r w:rsidRPr="00BA7885">
        <w:rPr>
          <w:rFonts w:ascii="Arial" w:hAnsi="Arial" w:cs="Arial"/>
          <w:sz w:val="24"/>
          <w:szCs w:val="24"/>
        </w:rPr>
        <w:t>sredstava</w:t>
      </w:r>
      <w:proofErr w:type="spellEnd"/>
      <w:r w:rsidRPr="00BA7885">
        <w:rPr>
          <w:rFonts w:ascii="Arial" w:hAnsi="Arial" w:cs="Arial"/>
          <w:sz w:val="24"/>
          <w:szCs w:val="24"/>
        </w:rPr>
        <w:t xml:space="preserve"> se </w:t>
      </w:r>
      <w:proofErr w:type="spellStart"/>
      <w:r w:rsidRPr="00BA7885">
        <w:rPr>
          <w:rFonts w:ascii="Arial" w:hAnsi="Arial" w:cs="Arial"/>
          <w:sz w:val="24"/>
          <w:szCs w:val="24"/>
        </w:rPr>
        <w:t>raspoređuju</w:t>
      </w:r>
      <w:proofErr w:type="spellEnd"/>
      <w:r w:rsidRPr="00BA7885">
        <w:rPr>
          <w:rFonts w:ascii="Arial" w:hAnsi="Arial" w:cs="Arial"/>
          <w:sz w:val="24"/>
          <w:szCs w:val="24"/>
        </w:rPr>
        <w:t xml:space="preserve"> </w:t>
      </w:r>
      <w:proofErr w:type="spellStart"/>
      <w:r w:rsidRPr="00BA7885">
        <w:rPr>
          <w:rFonts w:ascii="Arial" w:hAnsi="Arial" w:cs="Arial"/>
          <w:sz w:val="24"/>
          <w:szCs w:val="24"/>
        </w:rPr>
        <w:t>općinama</w:t>
      </w:r>
      <w:proofErr w:type="spellEnd"/>
      <w:r w:rsidRPr="00BA7885">
        <w:rPr>
          <w:rFonts w:ascii="Arial" w:hAnsi="Arial" w:cs="Arial"/>
          <w:sz w:val="24"/>
          <w:szCs w:val="24"/>
        </w:rPr>
        <w:t xml:space="preserve"> </w:t>
      </w:r>
      <w:proofErr w:type="spellStart"/>
      <w:r w:rsidRPr="00BA7885">
        <w:rPr>
          <w:rFonts w:ascii="Arial" w:hAnsi="Arial" w:cs="Arial"/>
          <w:sz w:val="24"/>
          <w:szCs w:val="24"/>
        </w:rPr>
        <w:t>kako</w:t>
      </w:r>
      <w:proofErr w:type="spellEnd"/>
      <w:r w:rsidRPr="00BA7885">
        <w:rPr>
          <w:rFonts w:ascii="Arial" w:hAnsi="Arial" w:cs="Arial"/>
          <w:sz w:val="24"/>
          <w:szCs w:val="24"/>
        </w:rPr>
        <w:t xml:space="preserve"> </w:t>
      </w:r>
      <w:proofErr w:type="spellStart"/>
      <w:r w:rsidRPr="00BA7885">
        <w:rPr>
          <w:rFonts w:ascii="Arial" w:hAnsi="Arial" w:cs="Arial"/>
          <w:sz w:val="24"/>
          <w:szCs w:val="24"/>
        </w:rPr>
        <w:t>slijedi</w:t>
      </w:r>
      <w:proofErr w:type="spellEnd"/>
      <w:r w:rsidRPr="00BA7885">
        <w:rPr>
          <w:rFonts w:ascii="Arial" w:hAnsi="Arial" w:cs="Arial"/>
          <w:sz w:val="24"/>
          <w:szCs w:val="24"/>
        </w:rPr>
        <w:t>:</w:t>
      </w:r>
    </w:p>
    <w:tbl>
      <w:tblPr>
        <w:tblStyle w:val="TableGrid"/>
        <w:tblW w:w="0" w:type="auto"/>
        <w:tblInd w:w="108" w:type="dxa"/>
        <w:tblLayout w:type="fixed"/>
        <w:tblLook w:val="04A0" w:firstRow="1" w:lastRow="0" w:firstColumn="1" w:lastColumn="0" w:noHBand="0" w:noVBand="1"/>
      </w:tblPr>
      <w:tblGrid>
        <w:gridCol w:w="993"/>
        <w:gridCol w:w="3402"/>
        <w:gridCol w:w="2155"/>
        <w:gridCol w:w="2155"/>
      </w:tblGrid>
      <w:tr w:rsidR="00F26574" w:rsidRPr="00BA7885" w:rsidTr="000B3CB9">
        <w:trPr>
          <w:trHeight w:val="446"/>
        </w:trPr>
        <w:tc>
          <w:tcPr>
            <w:tcW w:w="993" w:type="dxa"/>
            <w:vAlign w:val="center"/>
          </w:tcPr>
          <w:p w:rsidR="00F26574" w:rsidRPr="00BA7885" w:rsidRDefault="00F26574" w:rsidP="000B3CB9">
            <w:pPr>
              <w:jc w:val="center"/>
              <w:rPr>
                <w:rFonts w:ascii="Arial" w:hAnsi="Arial" w:cs="Arial"/>
                <w:b/>
                <w:sz w:val="24"/>
                <w:szCs w:val="24"/>
              </w:rPr>
            </w:pPr>
            <w:r w:rsidRPr="00BA7885">
              <w:rPr>
                <w:rFonts w:ascii="Arial" w:hAnsi="Arial" w:cs="Arial"/>
                <w:sz w:val="24"/>
                <w:szCs w:val="24"/>
              </w:rPr>
              <w:t xml:space="preserve">  </w:t>
            </w:r>
            <w:r w:rsidRPr="00BA7885">
              <w:rPr>
                <w:rFonts w:ascii="Arial" w:hAnsi="Arial" w:cs="Arial"/>
                <w:b/>
                <w:sz w:val="24"/>
                <w:szCs w:val="24"/>
              </w:rPr>
              <w:t>R. br.</w:t>
            </w:r>
          </w:p>
        </w:tc>
        <w:tc>
          <w:tcPr>
            <w:tcW w:w="3402" w:type="dxa"/>
            <w:vAlign w:val="center"/>
          </w:tcPr>
          <w:p w:rsidR="00F26574" w:rsidRPr="00BA7885" w:rsidRDefault="00F26574" w:rsidP="000B3CB9">
            <w:pPr>
              <w:jc w:val="center"/>
              <w:rPr>
                <w:rFonts w:ascii="Arial" w:hAnsi="Arial" w:cs="Arial"/>
                <w:b/>
                <w:sz w:val="24"/>
                <w:szCs w:val="24"/>
              </w:rPr>
            </w:pPr>
            <w:proofErr w:type="spellStart"/>
            <w:r w:rsidRPr="00BA7885">
              <w:rPr>
                <w:rFonts w:ascii="Arial" w:hAnsi="Arial" w:cs="Arial"/>
                <w:b/>
                <w:sz w:val="24"/>
                <w:szCs w:val="24"/>
              </w:rPr>
              <w:t>Općina</w:t>
            </w:r>
            <w:proofErr w:type="spellEnd"/>
          </w:p>
        </w:tc>
        <w:tc>
          <w:tcPr>
            <w:tcW w:w="2155" w:type="dxa"/>
            <w:vAlign w:val="center"/>
          </w:tcPr>
          <w:p w:rsidR="00F26574" w:rsidRPr="00BA7885" w:rsidRDefault="00F26574" w:rsidP="000B3CB9">
            <w:pPr>
              <w:jc w:val="center"/>
              <w:rPr>
                <w:rFonts w:ascii="Arial" w:hAnsi="Arial" w:cs="Arial"/>
                <w:b/>
                <w:sz w:val="24"/>
                <w:szCs w:val="24"/>
              </w:rPr>
            </w:pPr>
            <w:proofErr w:type="spellStart"/>
            <w:r w:rsidRPr="00BA7885">
              <w:rPr>
                <w:rFonts w:ascii="Arial" w:hAnsi="Arial" w:cs="Arial"/>
                <w:b/>
                <w:sz w:val="24"/>
                <w:szCs w:val="24"/>
              </w:rPr>
              <w:t>Iznos</w:t>
            </w:r>
            <w:proofErr w:type="spellEnd"/>
            <w:r w:rsidRPr="00BA7885">
              <w:rPr>
                <w:rFonts w:ascii="Arial" w:hAnsi="Arial" w:cs="Arial"/>
                <w:b/>
                <w:sz w:val="24"/>
                <w:szCs w:val="24"/>
              </w:rPr>
              <w:t xml:space="preserve"> u USD</w:t>
            </w:r>
          </w:p>
        </w:tc>
        <w:tc>
          <w:tcPr>
            <w:tcW w:w="2155" w:type="dxa"/>
            <w:vAlign w:val="center"/>
          </w:tcPr>
          <w:p w:rsidR="00F26574" w:rsidRPr="00BA7885" w:rsidRDefault="00F26574" w:rsidP="000B3CB9">
            <w:pPr>
              <w:jc w:val="center"/>
              <w:rPr>
                <w:rFonts w:ascii="Arial" w:hAnsi="Arial" w:cs="Arial"/>
                <w:b/>
                <w:sz w:val="24"/>
                <w:szCs w:val="24"/>
              </w:rPr>
            </w:pPr>
            <w:proofErr w:type="spellStart"/>
            <w:r w:rsidRPr="00BA7885">
              <w:rPr>
                <w:rFonts w:ascii="Arial" w:hAnsi="Arial" w:cs="Arial"/>
                <w:b/>
                <w:sz w:val="24"/>
                <w:szCs w:val="24"/>
              </w:rPr>
              <w:t>Ekvivalent</w:t>
            </w:r>
            <w:proofErr w:type="spellEnd"/>
            <w:r w:rsidRPr="00BA7885">
              <w:rPr>
                <w:rFonts w:ascii="Arial" w:hAnsi="Arial" w:cs="Arial"/>
                <w:b/>
                <w:sz w:val="24"/>
                <w:szCs w:val="24"/>
              </w:rPr>
              <w:t xml:space="preserve"> u KM</w:t>
            </w:r>
          </w:p>
        </w:tc>
      </w:tr>
      <w:tr w:rsidR="00F26574" w:rsidRPr="00BA7885" w:rsidTr="000B3CB9">
        <w:tc>
          <w:tcPr>
            <w:tcW w:w="993" w:type="dxa"/>
          </w:tcPr>
          <w:p w:rsidR="00F26574" w:rsidRPr="00BA7885" w:rsidRDefault="00F26574" w:rsidP="000B3CB9">
            <w:pPr>
              <w:jc w:val="center"/>
              <w:rPr>
                <w:rFonts w:ascii="Arial" w:hAnsi="Arial" w:cs="Arial"/>
                <w:sz w:val="24"/>
                <w:szCs w:val="24"/>
              </w:rPr>
            </w:pPr>
            <w:r w:rsidRPr="00BA7885">
              <w:rPr>
                <w:rFonts w:ascii="Arial" w:hAnsi="Arial" w:cs="Arial"/>
                <w:sz w:val="24"/>
                <w:szCs w:val="24"/>
              </w:rPr>
              <w:t>1.</w:t>
            </w:r>
          </w:p>
        </w:tc>
        <w:tc>
          <w:tcPr>
            <w:tcW w:w="3402" w:type="dxa"/>
          </w:tcPr>
          <w:p w:rsidR="00F26574" w:rsidRPr="00BA7885" w:rsidRDefault="00F26574" w:rsidP="000B3CB9">
            <w:pPr>
              <w:rPr>
                <w:rFonts w:ascii="Arial" w:hAnsi="Arial" w:cs="Arial"/>
                <w:sz w:val="24"/>
                <w:szCs w:val="24"/>
              </w:rPr>
            </w:pPr>
            <w:proofErr w:type="spellStart"/>
            <w:r w:rsidRPr="00BA7885">
              <w:rPr>
                <w:rFonts w:ascii="Arial" w:hAnsi="Arial" w:cs="Arial"/>
                <w:sz w:val="24"/>
                <w:szCs w:val="24"/>
              </w:rPr>
              <w:t>Domaljevac</w:t>
            </w:r>
            <w:proofErr w:type="spellEnd"/>
            <w:r w:rsidRPr="00BA7885">
              <w:rPr>
                <w:rFonts w:ascii="Arial" w:hAnsi="Arial" w:cs="Arial"/>
                <w:sz w:val="24"/>
                <w:szCs w:val="24"/>
              </w:rPr>
              <w:t xml:space="preserve"> -</w:t>
            </w:r>
            <w:proofErr w:type="spellStart"/>
            <w:r w:rsidRPr="00BA7885">
              <w:rPr>
                <w:rFonts w:ascii="Arial" w:hAnsi="Arial" w:cs="Arial"/>
                <w:sz w:val="24"/>
                <w:szCs w:val="24"/>
              </w:rPr>
              <w:t>Šamac</w:t>
            </w:r>
            <w:proofErr w:type="spellEnd"/>
          </w:p>
        </w:tc>
        <w:tc>
          <w:tcPr>
            <w:tcW w:w="2155" w:type="dxa"/>
          </w:tcPr>
          <w:p w:rsidR="00F26574" w:rsidRPr="00BA7885" w:rsidRDefault="00F26574" w:rsidP="000B3CB9">
            <w:pPr>
              <w:jc w:val="right"/>
              <w:rPr>
                <w:rFonts w:ascii="Arial" w:hAnsi="Arial" w:cs="Arial"/>
                <w:sz w:val="24"/>
                <w:szCs w:val="24"/>
              </w:rPr>
            </w:pPr>
            <w:r w:rsidRPr="00BA7885">
              <w:rPr>
                <w:rFonts w:ascii="Arial" w:hAnsi="Arial" w:cs="Arial"/>
                <w:sz w:val="24"/>
                <w:szCs w:val="24"/>
              </w:rPr>
              <w:t>465.560,00</w:t>
            </w:r>
          </w:p>
        </w:tc>
        <w:tc>
          <w:tcPr>
            <w:tcW w:w="2155" w:type="dxa"/>
          </w:tcPr>
          <w:p w:rsidR="00F26574" w:rsidRPr="00BA7885" w:rsidRDefault="00F26574" w:rsidP="000B3CB9">
            <w:pPr>
              <w:jc w:val="right"/>
              <w:rPr>
                <w:rFonts w:ascii="Arial" w:hAnsi="Arial" w:cs="Arial"/>
                <w:color w:val="000000"/>
                <w:sz w:val="24"/>
                <w:szCs w:val="24"/>
              </w:rPr>
            </w:pPr>
            <w:r w:rsidRPr="00BA7885">
              <w:rPr>
                <w:rFonts w:ascii="Arial" w:hAnsi="Arial" w:cs="Arial"/>
                <w:color w:val="000000"/>
                <w:sz w:val="24"/>
                <w:szCs w:val="24"/>
              </w:rPr>
              <w:t>681.146,00</w:t>
            </w:r>
          </w:p>
        </w:tc>
      </w:tr>
      <w:tr w:rsidR="00F26574" w:rsidRPr="00BA7885" w:rsidTr="000B3CB9">
        <w:tc>
          <w:tcPr>
            <w:tcW w:w="993" w:type="dxa"/>
          </w:tcPr>
          <w:p w:rsidR="00F26574" w:rsidRPr="00BA7885" w:rsidRDefault="00F26574" w:rsidP="000B3CB9">
            <w:pPr>
              <w:jc w:val="center"/>
              <w:rPr>
                <w:rFonts w:ascii="Arial" w:hAnsi="Arial" w:cs="Arial"/>
                <w:sz w:val="24"/>
                <w:szCs w:val="24"/>
              </w:rPr>
            </w:pPr>
            <w:r w:rsidRPr="00BA7885">
              <w:rPr>
                <w:rFonts w:ascii="Arial" w:hAnsi="Arial" w:cs="Arial"/>
                <w:sz w:val="24"/>
                <w:szCs w:val="24"/>
              </w:rPr>
              <w:t>2.</w:t>
            </w:r>
          </w:p>
        </w:tc>
        <w:tc>
          <w:tcPr>
            <w:tcW w:w="3402" w:type="dxa"/>
          </w:tcPr>
          <w:p w:rsidR="00F26574" w:rsidRPr="00BA7885" w:rsidRDefault="00F26574" w:rsidP="000B3CB9">
            <w:pPr>
              <w:rPr>
                <w:rFonts w:ascii="Arial" w:hAnsi="Arial" w:cs="Arial"/>
                <w:sz w:val="24"/>
                <w:szCs w:val="24"/>
              </w:rPr>
            </w:pPr>
            <w:proofErr w:type="spellStart"/>
            <w:r w:rsidRPr="00BA7885">
              <w:rPr>
                <w:rFonts w:ascii="Arial" w:hAnsi="Arial" w:cs="Arial"/>
                <w:sz w:val="24"/>
                <w:szCs w:val="24"/>
              </w:rPr>
              <w:t>Doboj</w:t>
            </w:r>
            <w:proofErr w:type="spellEnd"/>
            <w:r w:rsidRPr="00BA7885">
              <w:rPr>
                <w:rFonts w:ascii="Arial" w:hAnsi="Arial" w:cs="Arial"/>
                <w:sz w:val="24"/>
                <w:szCs w:val="24"/>
              </w:rPr>
              <w:t xml:space="preserve"> Jug</w:t>
            </w:r>
          </w:p>
        </w:tc>
        <w:tc>
          <w:tcPr>
            <w:tcW w:w="2155" w:type="dxa"/>
          </w:tcPr>
          <w:p w:rsidR="00F26574" w:rsidRPr="00BA7885" w:rsidRDefault="00F26574" w:rsidP="000B3CB9">
            <w:pPr>
              <w:jc w:val="right"/>
              <w:rPr>
                <w:rFonts w:ascii="Arial" w:hAnsi="Arial" w:cs="Arial"/>
                <w:sz w:val="24"/>
                <w:szCs w:val="24"/>
              </w:rPr>
            </w:pPr>
            <w:r w:rsidRPr="00BA7885">
              <w:rPr>
                <w:rFonts w:ascii="Arial" w:hAnsi="Arial" w:cs="Arial"/>
                <w:sz w:val="24"/>
                <w:szCs w:val="24"/>
              </w:rPr>
              <w:t>225.257,00</w:t>
            </w:r>
          </w:p>
        </w:tc>
        <w:tc>
          <w:tcPr>
            <w:tcW w:w="2155" w:type="dxa"/>
          </w:tcPr>
          <w:p w:rsidR="00F26574" w:rsidRPr="00BA7885" w:rsidRDefault="00F26574" w:rsidP="000B3CB9">
            <w:pPr>
              <w:jc w:val="right"/>
              <w:rPr>
                <w:rFonts w:ascii="Arial" w:hAnsi="Arial" w:cs="Arial"/>
                <w:color w:val="000000"/>
                <w:sz w:val="24"/>
                <w:szCs w:val="24"/>
              </w:rPr>
            </w:pPr>
            <w:r w:rsidRPr="00BA7885">
              <w:rPr>
                <w:rFonts w:ascii="Arial" w:hAnsi="Arial" w:cs="Arial"/>
                <w:color w:val="000000"/>
                <w:sz w:val="24"/>
                <w:szCs w:val="24"/>
              </w:rPr>
              <w:t>329.567,00</w:t>
            </w:r>
          </w:p>
        </w:tc>
      </w:tr>
      <w:tr w:rsidR="00F26574" w:rsidRPr="00BA7885" w:rsidTr="000B3CB9">
        <w:tc>
          <w:tcPr>
            <w:tcW w:w="993" w:type="dxa"/>
          </w:tcPr>
          <w:p w:rsidR="00F26574" w:rsidRPr="00BA7885" w:rsidRDefault="00F26574" w:rsidP="000B3CB9">
            <w:pPr>
              <w:jc w:val="center"/>
              <w:rPr>
                <w:rFonts w:ascii="Arial" w:hAnsi="Arial" w:cs="Arial"/>
                <w:sz w:val="24"/>
                <w:szCs w:val="24"/>
              </w:rPr>
            </w:pPr>
            <w:r w:rsidRPr="00BA7885">
              <w:rPr>
                <w:rFonts w:ascii="Arial" w:hAnsi="Arial" w:cs="Arial"/>
                <w:sz w:val="24"/>
                <w:szCs w:val="24"/>
              </w:rPr>
              <w:t>3.</w:t>
            </w:r>
          </w:p>
        </w:tc>
        <w:tc>
          <w:tcPr>
            <w:tcW w:w="3402" w:type="dxa"/>
          </w:tcPr>
          <w:p w:rsidR="00F26574" w:rsidRPr="00BA7885" w:rsidRDefault="00F26574" w:rsidP="000B3CB9">
            <w:pPr>
              <w:rPr>
                <w:rFonts w:ascii="Arial" w:hAnsi="Arial" w:cs="Arial"/>
                <w:sz w:val="24"/>
                <w:szCs w:val="24"/>
              </w:rPr>
            </w:pPr>
            <w:proofErr w:type="spellStart"/>
            <w:r w:rsidRPr="00BA7885">
              <w:rPr>
                <w:rFonts w:ascii="Arial" w:hAnsi="Arial" w:cs="Arial"/>
                <w:sz w:val="24"/>
                <w:szCs w:val="24"/>
              </w:rPr>
              <w:t>Maglaj</w:t>
            </w:r>
            <w:proofErr w:type="spellEnd"/>
          </w:p>
        </w:tc>
        <w:tc>
          <w:tcPr>
            <w:tcW w:w="2155" w:type="dxa"/>
          </w:tcPr>
          <w:p w:rsidR="00F26574" w:rsidRPr="00BA7885" w:rsidRDefault="00F26574" w:rsidP="000B3CB9">
            <w:pPr>
              <w:jc w:val="right"/>
              <w:rPr>
                <w:rFonts w:ascii="Arial" w:hAnsi="Arial" w:cs="Arial"/>
                <w:sz w:val="24"/>
                <w:szCs w:val="24"/>
              </w:rPr>
            </w:pPr>
            <w:r w:rsidRPr="00BA7885">
              <w:rPr>
                <w:rFonts w:ascii="Arial" w:hAnsi="Arial" w:cs="Arial"/>
                <w:sz w:val="24"/>
                <w:szCs w:val="24"/>
              </w:rPr>
              <w:t>978.670,00</w:t>
            </w:r>
          </w:p>
        </w:tc>
        <w:tc>
          <w:tcPr>
            <w:tcW w:w="2155" w:type="dxa"/>
          </w:tcPr>
          <w:p w:rsidR="00F26574" w:rsidRPr="00BA7885" w:rsidRDefault="00F26574" w:rsidP="000B3CB9">
            <w:pPr>
              <w:jc w:val="right"/>
              <w:rPr>
                <w:rFonts w:ascii="Arial" w:hAnsi="Arial" w:cs="Arial"/>
                <w:color w:val="000000"/>
                <w:sz w:val="24"/>
                <w:szCs w:val="24"/>
              </w:rPr>
            </w:pPr>
            <w:r w:rsidRPr="00BA7885">
              <w:rPr>
                <w:rFonts w:ascii="Arial" w:hAnsi="Arial" w:cs="Arial"/>
                <w:color w:val="000000"/>
                <w:sz w:val="24"/>
                <w:szCs w:val="24"/>
              </w:rPr>
              <w:t>1.431.862,00</w:t>
            </w:r>
          </w:p>
        </w:tc>
      </w:tr>
      <w:tr w:rsidR="00F26574" w:rsidRPr="00BA7885" w:rsidTr="000B3CB9">
        <w:tc>
          <w:tcPr>
            <w:tcW w:w="993" w:type="dxa"/>
          </w:tcPr>
          <w:p w:rsidR="00F26574" w:rsidRPr="00BA7885" w:rsidRDefault="00F26574" w:rsidP="000B3CB9">
            <w:pPr>
              <w:jc w:val="center"/>
              <w:rPr>
                <w:rFonts w:ascii="Arial" w:hAnsi="Arial" w:cs="Arial"/>
                <w:sz w:val="24"/>
                <w:szCs w:val="24"/>
              </w:rPr>
            </w:pPr>
            <w:r w:rsidRPr="00BA7885">
              <w:rPr>
                <w:rFonts w:ascii="Arial" w:hAnsi="Arial" w:cs="Arial"/>
                <w:sz w:val="24"/>
                <w:szCs w:val="24"/>
              </w:rPr>
              <w:t>4.</w:t>
            </w:r>
          </w:p>
        </w:tc>
        <w:tc>
          <w:tcPr>
            <w:tcW w:w="3402" w:type="dxa"/>
          </w:tcPr>
          <w:p w:rsidR="00F26574" w:rsidRPr="00BA7885" w:rsidRDefault="00F26574" w:rsidP="000B3CB9">
            <w:pPr>
              <w:rPr>
                <w:rFonts w:ascii="Arial" w:hAnsi="Arial" w:cs="Arial"/>
                <w:sz w:val="24"/>
                <w:szCs w:val="24"/>
              </w:rPr>
            </w:pPr>
            <w:proofErr w:type="spellStart"/>
            <w:r w:rsidRPr="00BA7885">
              <w:rPr>
                <w:rFonts w:ascii="Arial" w:hAnsi="Arial" w:cs="Arial"/>
                <w:sz w:val="24"/>
                <w:szCs w:val="24"/>
              </w:rPr>
              <w:t>Orašje</w:t>
            </w:r>
            <w:proofErr w:type="spellEnd"/>
          </w:p>
        </w:tc>
        <w:tc>
          <w:tcPr>
            <w:tcW w:w="2155" w:type="dxa"/>
          </w:tcPr>
          <w:p w:rsidR="00F26574" w:rsidRPr="00BA7885" w:rsidRDefault="00F26574" w:rsidP="000B3CB9">
            <w:pPr>
              <w:jc w:val="right"/>
              <w:rPr>
                <w:rFonts w:ascii="Arial" w:hAnsi="Arial" w:cs="Arial"/>
                <w:sz w:val="24"/>
                <w:szCs w:val="24"/>
              </w:rPr>
            </w:pPr>
            <w:r w:rsidRPr="00BA7885">
              <w:rPr>
                <w:rFonts w:ascii="Arial" w:hAnsi="Arial" w:cs="Arial"/>
                <w:sz w:val="24"/>
                <w:szCs w:val="24"/>
              </w:rPr>
              <w:t>624.678,00</w:t>
            </w:r>
          </w:p>
        </w:tc>
        <w:tc>
          <w:tcPr>
            <w:tcW w:w="2155" w:type="dxa"/>
          </w:tcPr>
          <w:p w:rsidR="00F26574" w:rsidRPr="00BA7885" w:rsidRDefault="00F26574" w:rsidP="000B3CB9">
            <w:pPr>
              <w:jc w:val="right"/>
              <w:rPr>
                <w:rFonts w:ascii="Arial" w:hAnsi="Arial" w:cs="Arial"/>
                <w:color w:val="000000"/>
                <w:sz w:val="24"/>
                <w:szCs w:val="24"/>
              </w:rPr>
            </w:pPr>
            <w:r w:rsidRPr="00BA7885">
              <w:rPr>
                <w:rFonts w:ascii="Arial" w:hAnsi="Arial" w:cs="Arial"/>
                <w:color w:val="000000"/>
                <w:sz w:val="24"/>
                <w:szCs w:val="24"/>
              </w:rPr>
              <w:t>913.947,00</w:t>
            </w:r>
          </w:p>
        </w:tc>
      </w:tr>
      <w:tr w:rsidR="00F26574" w:rsidRPr="00BA7885" w:rsidTr="000B3CB9">
        <w:tc>
          <w:tcPr>
            <w:tcW w:w="993" w:type="dxa"/>
          </w:tcPr>
          <w:p w:rsidR="00F26574" w:rsidRPr="00BA7885" w:rsidRDefault="00F26574" w:rsidP="000B3CB9">
            <w:pPr>
              <w:jc w:val="center"/>
              <w:rPr>
                <w:rFonts w:ascii="Arial" w:hAnsi="Arial" w:cs="Arial"/>
                <w:sz w:val="24"/>
                <w:szCs w:val="24"/>
              </w:rPr>
            </w:pPr>
            <w:r w:rsidRPr="00BA7885">
              <w:rPr>
                <w:rFonts w:ascii="Arial" w:hAnsi="Arial" w:cs="Arial"/>
                <w:sz w:val="24"/>
                <w:szCs w:val="24"/>
              </w:rPr>
              <w:t>5.</w:t>
            </w:r>
          </w:p>
        </w:tc>
        <w:tc>
          <w:tcPr>
            <w:tcW w:w="3402" w:type="dxa"/>
          </w:tcPr>
          <w:p w:rsidR="00F26574" w:rsidRPr="00BA7885" w:rsidRDefault="00F26574" w:rsidP="000B3CB9">
            <w:pPr>
              <w:rPr>
                <w:rFonts w:ascii="Arial" w:hAnsi="Arial" w:cs="Arial"/>
                <w:sz w:val="24"/>
                <w:szCs w:val="24"/>
              </w:rPr>
            </w:pPr>
            <w:proofErr w:type="spellStart"/>
            <w:r w:rsidRPr="00BA7885">
              <w:rPr>
                <w:rFonts w:ascii="Arial" w:hAnsi="Arial" w:cs="Arial"/>
                <w:sz w:val="24"/>
                <w:szCs w:val="24"/>
              </w:rPr>
              <w:t>Odžak</w:t>
            </w:r>
            <w:proofErr w:type="spellEnd"/>
          </w:p>
        </w:tc>
        <w:tc>
          <w:tcPr>
            <w:tcW w:w="2155" w:type="dxa"/>
          </w:tcPr>
          <w:p w:rsidR="00F26574" w:rsidRPr="00BA7885" w:rsidRDefault="00F26574" w:rsidP="000B3CB9">
            <w:pPr>
              <w:jc w:val="right"/>
              <w:rPr>
                <w:rFonts w:ascii="Arial" w:hAnsi="Arial" w:cs="Arial"/>
                <w:sz w:val="24"/>
                <w:szCs w:val="24"/>
              </w:rPr>
            </w:pPr>
            <w:r w:rsidRPr="00BA7885">
              <w:rPr>
                <w:rFonts w:ascii="Arial" w:hAnsi="Arial" w:cs="Arial"/>
                <w:sz w:val="24"/>
                <w:szCs w:val="24"/>
              </w:rPr>
              <w:t>606.209,00</w:t>
            </w:r>
          </w:p>
        </w:tc>
        <w:tc>
          <w:tcPr>
            <w:tcW w:w="2155" w:type="dxa"/>
          </w:tcPr>
          <w:p w:rsidR="00F26574" w:rsidRPr="00BA7885" w:rsidRDefault="00F26574" w:rsidP="000B3CB9">
            <w:pPr>
              <w:jc w:val="right"/>
              <w:rPr>
                <w:rFonts w:ascii="Arial" w:hAnsi="Arial" w:cs="Arial"/>
                <w:color w:val="000000"/>
                <w:sz w:val="24"/>
                <w:szCs w:val="24"/>
              </w:rPr>
            </w:pPr>
            <w:r w:rsidRPr="00BA7885">
              <w:rPr>
                <w:rFonts w:ascii="Arial" w:hAnsi="Arial" w:cs="Arial"/>
                <w:color w:val="000000"/>
                <w:sz w:val="24"/>
                <w:szCs w:val="24"/>
              </w:rPr>
              <w:t>886.926,00</w:t>
            </w:r>
          </w:p>
        </w:tc>
      </w:tr>
      <w:tr w:rsidR="00F26574" w:rsidRPr="00BA7885" w:rsidTr="000B3CB9">
        <w:tc>
          <w:tcPr>
            <w:tcW w:w="993" w:type="dxa"/>
          </w:tcPr>
          <w:p w:rsidR="00F26574" w:rsidRPr="00BA7885" w:rsidRDefault="00F26574" w:rsidP="000B3CB9">
            <w:pPr>
              <w:jc w:val="center"/>
              <w:rPr>
                <w:rFonts w:ascii="Arial" w:hAnsi="Arial" w:cs="Arial"/>
                <w:sz w:val="24"/>
                <w:szCs w:val="24"/>
              </w:rPr>
            </w:pPr>
            <w:r w:rsidRPr="00BA7885">
              <w:rPr>
                <w:rFonts w:ascii="Arial" w:hAnsi="Arial" w:cs="Arial"/>
                <w:sz w:val="24"/>
                <w:szCs w:val="24"/>
              </w:rPr>
              <w:t>6.</w:t>
            </w:r>
          </w:p>
        </w:tc>
        <w:tc>
          <w:tcPr>
            <w:tcW w:w="3402" w:type="dxa"/>
          </w:tcPr>
          <w:p w:rsidR="00F26574" w:rsidRPr="00BA7885" w:rsidRDefault="00F26574" w:rsidP="000B3CB9">
            <w:pPr>
              <w:rPr>
                <w:rFonts w:ascii="Arial" w:hAnsi="Arial" w:cs="Arial"/>
                <w:sz w:val="24"/>
                <w:szCs w:val="24"/>
              </w:rPr>
            </w:pPr>
            <w:proofErr w:type="spellStart"/>
            <w:r w:rsidRPr="00BA7885">
              <w:rPr>
                <w:rFonts w:ascii="Arial" w:hAnsi="Arial" w:cs="Arial"/>
                <w:sz w:val="24"/>
                <w:szCs w:val="24"/>
              </w:rPr>
              <w:t>Sapna</w:t>
            </w:r>
            <w:proofErr w:type="spellEnd"/>
          </w:p>
        </w:tc>
        <w:tc>
          <w:tcPr>
            <w:tcW w:w="2155" w:type="dxa"/>
          </w:tcPr>
          <w:p w:rsidR="00F26574" w:rsidRPr="00BA7885" w:rsidRDefault="00F26574" w:rsidP="000B3CB9">
            <w:pPr>
              <w:jc w:val="right"/>
              <w:rPr>
                <w:rFonts w:ascii="Arial" w:hAnsi="Arial" w:cs="Arial"/>
                <w:sz w:val="24"/>
                <w:szCs w:val="24"/>
              </w:rPr>
            </w:pPr>
            <w:r w:rsidRPr="00BA7885">
              <w:rPr>
                <w:rFonts w:ascii="Arial" w:hAnsi="Arial" w:cs="Arial"/>
                <w:sz w:val="24"/>
                <w:szCs w:val="24"/>
              </w:rPr>
              <w:t>206.572,00</w:t>
            </w:r>
          </w:p>
        </w:tc>
        <w:tc>
          <w:tcPr>
            <w:tcW w:w="2155" w:type="dxa"/>
          </w:tcPr>
          <w:p w:rsidR="00F26574" w:rsidRPr="00BA7885" w:rsidRDefault="00F26574" w:rsidP="000B3CB9">
            <w:pPr>
              <w:jc w:val="right"/>
              <w:rPr>
                <w:rFonts w:ascii="Arial" w:hAnsi="Arial" w:cs="Arial"/>
                <w:color w:val="000000"/>
                <w:sz w:val="24"/>
                <w:szCs w:val="24"/>
              </w:rPr>
            </w:pPr>
            <w:r w:rsidRPr="00BA7885">
              <w:rPr>
                <w:rFonts w:ascii="Arial" w:hAnsi="Arial" w:cs="Arial"/>
                <w:color w:val="000000"/>
                <w:sz w:val="24"/>
                <w:szCs w:val="24"/>
              </w:rPr>
              <w:t>302.229,00</w:t>
            </w:r>
          </w:p>
        </w:tc>
      </w:tr>
      <w:tr w:rsidR="00F26574" w:rsidRPr="00BA7885" w:rsidTr="000B3CB9">
        <w:tc>
          <w:tcPr>
            <w:tcW w:w="993" w:type="dxa"/>
          </w:tcPr>
          <w:p w:rsidR="00F26574" w:rsidRPr="00BA7885" w:rsidRDefault="00F26574" w:rsidP="000B3CB9">
            <w:pPr>
              <w:jc w:val="center"/>
              <w:rPr>
                <w:rFonts w:ascii="Arial" w:hAnsi="Arial" w:cs="Arial"/>
                <w:sz w:val="24"/>
                <w:szCs w:val="24"/>
              </w:rPr>
            </w:pPr>
            <w:r w:rsidRPr="00BA7885">
              <w:rPr>
                <w:rFonts w:ascii="Arial" w:hAnsi="Arial" w:cs="Arial"/>
                <w:sz w:val="24"/>
                <w:szCs w:val="24"/>
              </w:rPr>
              <w:t>7.</w:t>
            </w:r>
          </w:p>
        </w:tc>
        <w:tc>
          <w:tcPr>
            <w:tcW w:w="3402" w:type="dxa"/>
          </w:tcPr>
          <w:p w:rsidR="00F26574" w:rsidRPr="00BA7885" w:rsidRDefault="00F26574" w:rsidP="000B3CB9">
            <w:pPr>
              <w:rPr>
                <w:rFonts w:ascii="Arial" w:hAnsi="Arial" w:cs="Arial"/>
                <w:sz w:val="24"/>
                <w:szCs w:val="24"/>
              </w:rPr>
            </w:pPr>
            <w:proofErr w:type="spellStart"/>
            <w:r w:rsidRPr="00BA7885">
              <w:rPr>
                <w:rFonts w:ascii="Arial" w:hAnsi="Arial" w:cs="Arial"/>
                <w:sz w:val="24"/>
                <w:szCs w:val="24"/>
              </w:rPr>
              <w:t>Žepče</w:t>
            </w:r>
            <w:proofErr w:type="spellEnd"/>
          </w:p>
        </w:tc>
        <w:tc>
          <w:tcPr>
            <w:tcW w:w="2155" w:type="dxa"/>
          </w:tcPr>
          <w:p w:rsidR="00F26574" w:rsidRPr="00BA7885" w:rsidRDefault="00F26574" w:rsidP="000B3CB9">
            <w:pPr>
              <w:jc w:val="right"/>
              <w:rPr>
                <w:rFonts w:ascii="Arial" w:hAnsi="Arial" w:cs="Arial"/>
                <w:sz w:val="24"/>
                <w:szCs w:val="24"/>
              </w:rPr>
            </w:pPr>
            <w:r w:rsidRPr="00BA7885">
              <w:rPr>
                <w:rFonts w:ascii="Arial" w:hAnsi="Arial" w:cs="Arial"/>
                <w:sz w:val="24"/>
                <w:szCs w:val="24"/>
              </w:rPr>
              <w:t>463.222,00</w:t>
            </w:r>
          </w:p>
        </w:tc>
        <w:tc>
          <w:tcPr>
            <w:tcW w:w="2155" w:type="dxa"/>
          </w:tcPr>
          <w:p w:rsidR="00F26574" w:rsidRPr="00BA7885" w:rsidRDefault="00F26574" w:rsidP="000B3CB9">
            <w:pPr>
              <w:jc w:val="right"/>
              <w:rPr>
                <w:rFonts w:ascii="Arial" w:hAnsi="Arial" w:cs="Arial"/>
                <w:color w:val="000000"/>
                <w:sz w:val="24"/>
                <w:szCs w:val="24"/>
              </w:rPr>
            </w:pPr>
            <w:r w:rsidRPr="00BA7885">
              <w:rPr>
                <w:rFonts w:ascii="Arial" w:hAnsi="Arial" w:cs="Arial"/>
                <w:color w:val="000000"/>
                <w:sz w:val="24"/>
                <w:szCs w:val="24"/>
              </w:rPr>
              <w:t>677.726,00</w:t>
            </w:r>
          </w:p>
        </w:tc>
      </w:tr>
      <w:tr w:rsidR="00F26574" w:rsidRPr="00BA7885" w:rsidTr="000B3CB9">
        <w:tc>
          <w:tcPr>
            <w:tcW w:w="993" w:type="dxa"/>
          </w:tcPr>
          <w:p w:rsidR="00F26574" w:rsidRPr="00BA7885" w:rsidRDefault="00F26574" w:rsidP="000B3CB9">
            <w:pPr>
              <w:jc w:val="center"/>
              <w:rPr>
                <w:rFonts w:ascii="Arial" w:hAnsi="Arial" w:cs="Arial"/>
                <w:sz w:val="24"/>
                <w:szCs w:val="24"/>
              </w:rPr>
            </w:pPr>
            <w:r w:rsidRPr="00BA7885">
              <w:rPr>
                <w:rFonts w:ascii="Arial" w:hAnsi="Arial" w:cs="Arial"/>
                <w:sz w:val="24"/>
                <w:szCs w:val="24"/>
              </w:rPr>
              <w:t>8.</w:t>
            </w:r>
          </w:p>
        </w:tc>
        <w:tc>
          <w:tcPr>
            <w:tcW w:w="3402" w:type="dxa"/>
          </w:tcPr>
          <w:p w:rsidR="00F26574" w:rsidRPr="00BA7885" w:rsidRDefault="00F26574" w:rsidP="000B3CB9">
            <w:pPr>
              <w:rPr>
                <w:rFonts w:ascii="Arial" w:hAnsi="Arial" w:cs="Arial"/>
                <w:sz w:val="24"/>
                <w:szCs w:val="24"/>
              </w:rPr>
            </w:pPr>
            <w:proofErr w:type="spellStart"/>
            <w:r w:rsidRPr="00BA7885">
              <w:rPr>
                <w:rFonts w:ascii="Arial" w:hAnsi="Arial" w:cs="Arial"/>
                <w:sz w:val="24"/>
                <w:szCs w:val="24"/>
              </w:rPr>
              <w:t>Doboj</w:t>
            </w:r>
            <w:proofErr w:type="spellEnd"/>
            <w:r w:rsidRPr="00BA7885">
              <w:rPr>
                <w:rFonts w:ascii="Arial" w:hAnsi="Arial" w:cs="Arial"/>
                <w:sz w:val="24"/>
                <w:szCs w:val="24"/>
              </w:rPr>
              <w:t xml:space="preserve"> </w:t>
            </w:r>
            <w:proofErr w:type="spellStart"/>
            <w:r w:rsidRPr="00BA7885">
              <w:rPr>
                <w:rFonts w:ascii="Arial" w:hAnsi="Arial" w:cs="Arial"/>
                <w:sz w:val="24"/>
                <w:szCs w:val="24"/>
              </w:rPr>
              <w:t>Istok</w:t>
            </w:r>
            <w:proofErr w:type="spellEnd"/>
          </w:p>
        </w:tc>
        <w:tc>
          <w:tcPr>
            <w:tcW w:w="2155" w:type="dxa"/>
          </w:tcPr>
          <w:p w:rsidR="00F26574" w:rsidRPr="00BA7885" w:rsidRDefault="00F26574" w:rsidP="000B3CB9">
            <w:pPr>
              <w:jc w:val="right"/>
              <w:rPr>
                <w:rFonts w:ascii="Arial" w:hAnsi="Arial" w:cs="Arial"/>
                <w:sz w:val="24"/>
                <w:szCs w:val="24"/>
              </w:rPr>
            </w:pPr>
            <w:r w:rsidRPr="00BA7885">
              <w:rPr>
                <w:rFonts w:ascii="Arial" w:hAnsi="Arial" w:cs="Arial"/>
                <w:sz w:val="24"/>
                <w:szCs w:val="24"/>
              </w:rPr>
              <w:t>152.108,00</w:t>
            </w:r>
          </w:p>
        </w:tc>
        <w:tc>
          <w:tcPr>
            <w:tcW w:w="2155" w:type="dxa"/>
          </w:tcPr>
          <w:p w:rsidR="00F26574" w:rsidRPr="00BA7885" w:rsidRDefault="00F26574" w:rsidP="000B3CB9">
            <w:pPr>
              <w:jc w:val="right"/>
              <w:rPr>
                <w:rFonts w:ascii="Arial" w:hAnsi="Arial" w:cs="Arial"/>
                <w:color w:val="000000"/>
                <w:sz w:val="24"/>
                <w:szCs w:val="24"/>
              </w:rPr>
            </w:pPr>
            <w:r w:rsidRPr="00BA7885">
              <w:rPr>
                <w:rFonts w:ascii="Arial" w:hAnsi="Arial" w:cs="Arial"/>
                <w:color w:val="000000"/>
                <w:sz w:val="24"/>
                <w:szCs w:val="24"/>
              </w:rPr>
              <w:t>222.544,00</w:t>
            </w:r>
          </w:p>
        </w:tc>
      </w:tr>
      <w:tr w:rsidR="00F26574" w:rsidRPr="00BA7885" w:rsidTr="000B3CB9">
        <w:tc>
          <w:tcPr>
            <w:tcW w:w="993" w:type="dxa"/>
          </w:tcPr>
          <w:p w:rsidR="00F26574" w:rsidRPr="00BA7885" w:rsidRDefault="00F26574" w:rsidP="000B3CB9">
            <w:pPr>
              <w:jc w:val="center"/>
              <w:rPr>
                <w:rFonts w:ascii="Arial" w:hAnsi="Arial" w:cs="Arial"/>
                <w:sz w:val="24"/>
                <w:szCs w:val="24"/>
              </w:rPr>
            </w:pPr>
            <w:r w:rsidRPr="00BA7885">
              <w:rPr>
                <w:rFonts w:ascii="Arial" w:hAnsi="Arial" w:cs="Arial"/>
                <w:sz w:val="24"/>
                <w:szCs w:val="24"/>
              </w:rPr>
              <w:t>9.</w:t>
            </w:r>
          </w:p>
        </w:tc>
        <w:tc>
          <w:tcPr>
            <w:tcW w:w="3402" w:type="dxa"/>
          </w:tcPr>
          <w:p w:rsidR="00F26574" w:rsidRPr="00BA7885" w:rsidRDefault="00F26574" w:rsidP="000B3CB9">
            <w:pPr>
              <w:rPr>
                <w:rFonts w:ascii="Arial" w:hAnsi="Arial" w:cs="Arial"/>
                <w:sz w:val="24"/>
                <w:szCs w:val="24"/>
              </w:rPr>
            </w:pPr>
            <w:proofErr w:type="spellStart"/>
            <w:r w:rsidRPr="00BA7885">
              <w:rPr>
                <w:rFonts w:ascii="Arial" w:hAnsi="Arial" w:cs="Arial"/>
                <w:sz w:val="24"/>
                <w:szCs w:val="24"/>
              </w:rPr>
              <w:t>Sanski</w:t>
            </w:r>
            <w:proofErr w:type="spellEnd"/>
            <w:r w:rsidRPr="00BA7885">
              <w:rPr>
                <w:rFonts w:ascii="Arial" w:hAnsi="Arial" w:cs="Arial"/>
                <w:sz w:val="24"/>
                <w:szCs w:val="24"/>
              </w:rPr>
              <w:t xml:space="preserve"> most</w:t>
            </w:r>
          </w:p>
        </w:tc>
        <w:tc>
          <w:tcPr>
            <w:tcW w:w="2155" w:type="dxa"/>
          </w:tcPr>
          <w:p w:rsidR="00F26574" w:rsidRPr="00BA7885" w:rsidRDefault="00F26574" w:rsidP="000B3CB9">
            <w:pPr>
              <w:jc w:val="right"/>
              <w:rPr>
                <w:rFonts w:ascii="Arial" w:hAnsi="Arial" w:cs="Arial"/>
                <w:sz w:val="24"/>
                <w:szCs w:val="24"/>
              </w:rPr>
            </w:pPr>
            <w:r w:rsidRPr="00BA7885">
              <w:rPr>
                <w:rFonts w:ascii="Arial" w:hAnsi="Arial" w:cs="Arial"/>
                <w:sz w:val="24"/>
                <w:szCs w:val="24"/>
              </w:rPr>
              <w:t>653.982,00</w:t>
            </w:r>
          </w:p>
        </w:tc>
        <w:tc>
          <w:tcPr>
            <w:tcW w:w="2155" w:type="dxa"/>
          </w:tcPr>
          <w:p w:rsidR="00F26574" w:rsidRPr="00BA7885" w:rsidRDefault="00F26574" w:rsidP="000B3CB9">
            <w:pPr>
              <w:jc w:val="right"/>
              <w:rPr>
                <w:rFonts w:ascii="Arial" w:hAnsi="Arial" w:cs="Arial"/>
                <w:color w:val="000000"/>
                <w:sz w:val="24"/>
                <w:szCs w:val="24"/>
              </w:rPr>
            </w:pPr>
            <w:r w:rsidRPr="00BA7885">
              <w:rPr>
                <w:rFonts w:ascii="Arial" w:hAnsi="Arial" w:cs="Arial"/>
                <w:color w:val="000000"/>
                <w:sz w:val="24"/>
                <w:szCs w:val="24"/>
              </w:rPr>
              <w:t>956.821,00</w:t>
            </w:r>
          </w:p>
        </w:tc>
      </w:tr>
      <w:tr w:rsidR="00F26574" w:rsidRPr="00BA7885" w:rsidTr="000B3CB9">
        <w:tc>
          <w:tcPr>
            <w:tcW w:w="993" w:type="dxa"/>
          </w:tcPr>
          <w:p w:rsidR="00F26574" w:rsidRPr="00BA7885" w:rsidRDefault="00F26574" w:rsidP="000B3CB9">
            <w:pPr>
              <w:jc w:val="center"/>
              <w:rPr>
                <w:rFonts w:ascii="Arial" w:hAnsi="Arial" w:cs="Arial"/>
                <w:sz w:val="24"/>
                <w:szCs w:val="24"/>
              </w:rPr>
            </w:pPr>
            <w:r w:rsidRPr="00BA7885">
              <w:rPr>
                <w:rFonts w:ascii="Arial" w:hAnsi="Arial" w:cs="Arial"/>
                <w:sz w:val="24"/>
                <w:szCs w:val="24"/>
              </w:rPr>
              <w:t>10.</w:t>
            </w:r>
          </w:p>
        </w:tc>
        <w:tc>
          <w:tcPr>
            <w:tcW w:w="3402" w:type="dxa"/>
          </w:tcPr>
          <w:p w:rsidR="00F26574" w:rsidRPr="00BA7885" w:rsidRDefault="00F26574" w:rsidP="000B3CB9">
            <w:pPr>
              <w:rPr>
                <w:rFonts w:ascii="Arial" w:hAnsi="Arial" w:cs="Arial"/>
                <w:sz w:val="24"/>
                <w:szCs w:val="24"/>
              </w:rPr>
            </w:pPr>
            <w:r w:rsidRPr="00BA7885">
              <w:rPr>
                <w:rFonts w:ascii="Arial" w:hAnsi="Arial" w:cs="Arial"/>
                <w:sz w:val="24"/>
                <w:szCs w:val="24"/>
              </w:rPr>
              <w:t xml:space="preserve">Tuzla </w:t>
            </w:r>
          </w:p>
        </w:tc>
        <w:tc>
          <w:tcPr>
            <w:tcW w:w="2155" w:type="dxa"/>
          </w:tcPr>
          <w:p w:rsidR="00F26574" w:rsidRPr="00BA7885" w:rsidRDefault="00F26574" w:rsidP="000B3CB9">
            <w:pPr>
              <w:jc w:val="right"/>
              <w:rPr>
                <w:rFonts w:ascii="Arial" w:hAnsi="Arial" w:cs="Arial"/>
                <w:sz w:val="24"/>
                <w:szCs w:val="24"/>
              </w:rPr>
            </w:pPr>
            <w:r w:rsidRPr="00BA7885">
              <w:rPr>
                <w:rFonts w:ascii="Arial" w:hAnsi="Arial" w:cs="Arial"/>
                <w:sz w:val="24"/>
                <w:szCs w:val="24"/>
              </w:rPr>
              <w:t>1.383.670,00</w:t>
            </w:r>
          </w:p>
        </w:tc>
        <w:tc>
          <w:tcPr>
            <w:tcW w:w="2155" w:type="dxa"/>
          </w:tcPr>
          <w:p w:rsidR="00F26574" w:rsidRPr="00BA7885" w:rsidRDefault="00F26574" w:rsidP="000B3CB9">
            <w:pPr>
              <w:jc w:val="right"/>
              <w:rPr>
                <w:rFonts w:ascii="Arial" w:hAnsi="Arial" w:cs="Arial"/>
                <w:color w:val="000000"/>
                <w:sz w:val="24"/>
                <w:szCs w:val="24"/>
              </w:rPr>
            </w:pPr>
            <w:r w:rsidRPr="00BA7885">
              <w:rPr>
                <w:rFonts w:ascii="Arial" w:hAnsi="Arial" w:cs="Arial"/>
                <w:color w:val="000000"/>
                <w:sz w:val="24"/>
                <w:szCs w:val="24"/>
              </w:rPr>
              <w:t>2.024.405,00</w:t>
            </w:r>
          </w:p>
        </w:tc>
      </w:tr>
      <w:tr w:rsidR="00F26574" w:rsidRPr="00BA7885" w:rsidTr="000B3CB9">
        <w:tc>
          <w:tcPr>
            <w:tcW w:w="993" w:type="dxa"/>
          </w:tcPr>
          <w:p w:rsidR="00F26574" w:rsidRPr="00BA7885" w:rsidRDefault="00F26574" w:rsidP="000B3CB9">
            <w:pPr>
              <w:jc w:val="center"/>
              <w:rPr>
                <w:rFonts w:ascii="Arial" w:hAnsi="Arial" w:cs="Arial"/>
                <w:sz w:val="24"/>
                <w:szCs w:val="24"/>
              </w:rPr>
            </w:pPr>
            <w:r w:rsidRPr="00BA7885">
              <w:rPr>
                <w:rFonts w:ascii="Arial" w:hAnsi="Arial" w:cs="Arial"/>
                <w:sz w:val="24"/>
                <w:szCs w:val="24"/>
              </w:rPr>
              <w:t>11.</w:t>
            </w:r>
          </w:p>
        </w:tc>
        <w:tc>
          <w:tcPr>
            <w:tcW w:w="3402" w:type="dxa"/>
          </w:tcPr>
          <w:p w:rsidR="00F26574" w:rsidRPr="00BA7885" w:rsidRDefault="00F26574" w:rsidP="000B3CB9">
            <w:pPr>
              <w:rPr>
                <w:rFonts w:ascii="Arial" w:hAnsi="Arial" w:cs="Arial"/>
                <w:sz w:val="24"/>
                <w:szCs w:val="24"/>
              </w:rPr>
            </w:pPr>
            <w:proofErr w:type="spellStart"/>
            <w:r w:rsidRPr="00BA7885">
              <w:rPr>
                <w:rFonts w:ascii="Arial" w:hAnsi="Arial" w:cs="Arial"/>
                <w:sz w:val="24"/>
                <w:szCs w:val="24"/>
              </w:rPr>
              <w:t>Kladanj</w:t>
            </w:r>
            <w:proofErr w:type="spellEnd"/>
          </w:p>
        </w:tc>
        <w:tc>
          <w:tcPr>
            <w:tcW w:w="2155" w:type="dxa"/>
          </w:tcPr>
          <w:p w:rsidR="00F26574" w:rsidRPr="00BA7885" w:rsidRDefault="00F26574" w:rsidP="000B3CB9">
            <w:pPr>
              <w:jc w:val="right"/>
              <w:rPr>
                <w:rFonts w:ascii="Arial" w:hAnsi="Arial" w:cs="Arial"/>
                <w:sz w:val="24"/>
                <w:szCs w:val="24"/>
              </w:rPr>
            </w:pPr>
            <w:r w:rsidRPr="00BA7885">
              <w:rPr>
                <w:rFonts w:ascii="Arial" w:hAnsi="Arial" w:cs="Arial"/>
                <w:sz w:val="24"/>
                <w:szCs w:val="24"/>
              </w:rPr>
              <w:t>166.983,00</w:t>
            </w:r>
          </w:p>
        </w:tc>
        <w:tc>
          <w:tcPr>
            <w:tcW w:w="2155" w:type="dxa"/>
          </w:tcPr>
          <w:p w:rsidR="00F26574" w:rsidRPr="00BA7885" w:rsidRDefault="00F26574" w:rsidP="000B3CB9">
            <w:pPr>
              <w:jc w:val="right"/>
              <w:rPr>
                <w:rFonts w:ascii="Arial" w:hAnsi="Arial" w:cs="Arial"/>
                <w:color w:val="000000"/>
                <w:sz w:val="24"/>
                <w:szCs w:val="24"/>
              </w:rPr>
            </w:pPr>
            <w:r w:rsidRPr="00BA7885">
              <w:rPr>
                <w:rFonts w:ascii="Arial" w:hAnsi="Arial" w:cs="Arial"/>
                <w:color w:val="000000"/>
                <w:sz w:val="24"/>
                <w:szCs w:val="24"/>
              </w:rPr>
              <w:t>244.308,00</w:t>
            </w:r>
          </w:p>
        </w:tc>
      </w:tr>
      <w:tr w:rsidR="00F26574" w:rsidRPr="00BA7885" w:rsidTr="000B3CB9">
        <w:tc>
          <w:tcPr>
            <w:tcW w:w="993" w:type="dxa"/>
          </w:tcPr>
          <w:p w:rsidR="00F26574" w:rsidRPr="00BA7885" w:rsidRDefault="00F26574" w:rsidP="000B3CB9">
            <w:pPr>
              <w:jc w:val="center"/>
              <w:rPr>
                <w:rFonts w:ascii="Arial" w:hAnsi="Arial" w:cs="Arial"/>
                <w:sz w:val="24"/>
                <w:szCs w:val="24"/>
              </w:rPr>
            </w:pPr>
            <w:r w:rsidRPr="00BA7885">
              <w:rPr>
                <w:rFonts w:ascii="Arial" w:hAnsi="Arial" w:cs="Arial"/>
                <w:sz w:val="24"/>
                <w:szCs w:val="24"/>
              </w:rPr>
              <w:t>12.</w:t>
            </w:r>
          </w:p>
        </w:tc>
        <w:tc>
          <w:tcPr>
            <w:tcW w:w="3402" w:type="dxa"/>
          </w:tcPr>
          <w:p w:rsidR="00F26574" w:rsidRPr="00BA7885" w:rsidRDefault="00F26574" w:rsidP="000B3CB9">
            <w:pPr>
              <w:rPr>
                <w:rFonts w:ascii="Arial" w:hAnsi="Arial" w:cs="Arial"/>
                <w:sz w:val="24"/>
                <w:szCs w:val="24"/>
              </w:rPr>
            </w:pPr>
            <w:proofErr w:type="spellStart"/>
            <w:r w:rsidRPr="00BA7885">
              <w:rPr>
                <w:rFonts w:ascii="Arial" w:hAnsi="Arial" w:cs="Arial"/>
                <w:sz w:val="24"/>
                <w:szCs w:val="24"/>
              </w:rPr>
              <w:t>Zavidovići</w:t>
            </w:r>
            <w:proofErr w:type="spellEnd"/>
            <w:r w:rsidRPr="00BA7885">
              <w:rPr>
                <w:rFonts w:ascii="Arial" w:hAnsi="Arial" w:cs="Arial"/>
                <w:sz w:val="24"/>
                <w:szCs w:val="24"/>
              </w:rPr>
              <w:t xml:space="preserve"> </w:t>
            </w:r>
          </w:p>
        </w:tc>
        <w:tc>
          <w:tcPr>
            <w:tcW w:w="2155" w:type="dxa"/>
          </w:tcPr>
          <w:p w:rsidR="00F26574" w:rsidRPr="00BA7885" w:rsidRDefault="00F26574" w:rsidP="000B3CB9">
            <w:pPr>
              <w:jc w:val="right"/>
              <w:rPr>
                <w:rFonts w:ascii="Arial" w:hAnsi="Arial" w:cs="Arial"/>
                <w:sz w:val="24"/>
                <w:szCs w:val="24"/>
              </w:rPr>
            </w:pPr>
            <w:r w:rsidRPr="00BA7885">
              <w:rPr>
                <w:rFonts w:ascii="Arial" w:hAnsi="Arial" w:cs="Arial"/>
                <w:sz w:val="24"/>
                <w:szCs w:val="24"/>
              </w:rPr>
              <w:t>489.035,00</w:t>
            </w:r>
          </w:p>
        </w:tc>
        <w:tc>
          <w:tcPr>
            <w:tcW w:w="2155" w:type="dxa"/>
          </w:tcPr>
          <w:p w:rsidR="00F26574" w:rsidRPr="00BA7885" w:rsidRDefault="00F26574" w:rsidP="000B3CB9">
            <w:pPr>
              <w:jc w:val="right"/>
              <w:rPr>
                <w:rFonts w:ascii="Arial" w:hAnsi="Arial" w:cs="Arial"/>
                <w:color w:val="000000"/>
                <w:sz w:val="24"/>
                <w:szCs w:val="24"/>
              </w:rPr>
            </w:pPr>
            <w:r w:rsidRPr="00BA7885">
              <w:rPr>
                <w:rFonts w:ascii="Arial" w:hAnsi="Arial" w:cs="Arial"/>
                <w:color w:val="000000"/>
                <w:sz w:val="24"/>
                <w:szCs w:val="24"/>
              </w:rPr>
              <w:t>715.492,00</w:t>
            </w:r>
          </w:p>
        </w:tc>
      </w:tr>
      <w:tr w:rsidR="00F26574" w:rsidRPr="00BA7885" w:rsidTr="000B3CB9">
        <w:tc>
          <w:tcPr>
            <w:tcW w:w="993" w:type="dxa"/>
          </w:tcPr>
          <w:p w:rsidR="00F26574" w:rsidRPr="00BA7885" w:rsidRDefault="00F26574" w:rsidP="000B3CB9">
            <w:pPr>
              <w:jc w:val="center"/>
              <w:rPr>
                <w:rFonts w:ascii="Arial" w:hAnsi="Arial" w:cs="Arial"/>
                <w:sz w:val="24"/>
                <w:szCs w:val="24"/>
              </w:rPr>
            </w:pPr>
            <w:r w:rsidRPr="00BA7885">
              <w:rPr>
                <w:rFonts w:ascii="Arial" w:hAnsi="Arial" w:cs="Arial"/>
                <w:sz w:val="24"/>
                <w:szCs w:val="24"/>
              </w:rPr>
              <w:t>13.</w:t>
            </w:r>
          </w:p>
        </w:tc>
        <w:tc>
          <w:tcPr>
            <w:tcW w:w="3402" w:type="dxa"/>
          </w:tcPr>
          <w:p w:rsidR="00F26574" w:rsidRPr="00BA7885" w:rsidRDefault="00F26574" w:rsidP="000B3CB9">
            <w:pPr>
              <w:rPr>
                <w:rFonts w:ascii="Arial" w:hAnsi="Arial" w:cs="Arial"/>
                <w:sz w:val="24"/>
                <w:szCs w:val="24"/>
              </w:rPr>
            </w:pPr>
            <w:proofErr w:type="spellStart"/>
            <w:r w:rsidRPr="00BA7885">
              <w:rPr>
                <w:rFonts w:ascii="Arial" w:hAnsi="Arial" w:cs="Arial"/>
                <w:sz w:val="24"/>
                <w:szCs w:val="24"/>
              </w:rPr>
              <w:t>Srebrenik</w:t>
            </w:r>
            <w:proofErr w:type="spellEnd"/>
          </w:p>
        </w:tc>
        <w:tc>
          <w:tcPr>
            <w:tcW w:w="2155" w:type="dxa"/>
          </w:tcPr>
          <w:p w:rsidR="00F26574" w:rsidRPr="00BA7885" w:rsidRDefault="00F26574" w:rsidP="000B3CB9">
            <w:pPr>
              <w:jc w:val="right"/>
              <w:rPr>
                <w:rFonts w:ascii="Arial" w:hAnsi="Arial" w:cs="Arial"/>
                <w:sz w:val="24"/>
                <w:szCs w:val="24"/>
              </w:rPr>
            </w:pPr>
            <w:r w:rsidRPr="00BA7885">
              <w:rPr>
                <w:rFonts w:ascii="Arial" w:hAnsi="Arial" w:cs="Arial"/>
                <w:sz w:val="24"/>
                <w:szCs w:val="24"/>
              </w:rPr>
              <w:t>488.650,00</w:t>
            </w:r>
          </w:p>
        </w:tc>
        <w:tc>
          <w:tcPr>
            <w:tcW w:w="2155" w:type="dxa"/>
          </w:tcPr>
          <w:p w:rsidR="00F26574" w:rsidRPr="00BA7885" w:rsidRDefault="00F26574" w:rsidP="000B3CB9">
            <w:pPr>
              <w:jc w:val="right"/>
              <w:rPr>
                <w:rFonts w:ascii="Arial" w:hAnsi="Arial" w:cs="Arial"/>
                <w:color w:val="000000"/>
                <w:sz w:val="24"/>
                <w:szCs w:val="24"/>
              </w:rPr>
            </w:pPr>
            <w:r w:rsidRPr="00BA7885">
              <w:rPr>
                <w:rFonts w:ascii="Arial" w:hAnsi="Arial" w:cs="Arial"/>
                <w:color w:val="000000"/>
                <w:sz w:val="24"/>
                <w:szCs w:val="24"/>
              </w:rPr>
              <w:t>714.929,00</w:t>
            </w:r>
          </w:p>
        </w:tc>
      </w:tr>
      <w:tr w:rsidR="00F26574" w:rsidRPr="00BA7885" w:rsidTr="000B3CB9">
        <w:tc>
          <w:tcPr>
            <w:tcW w:w="993" w:type="dxa"/>
          </w:tcPr>
          <w:p w:rsidR="00F26574" w:rsidRPr="00BA7885" w:rsidRDefault="00F26574" w:rsidP="000B3CB9">
            <w:pPr>
              <w:jc w:val="center"/>
              <w:rPr>
                <w:rFonts w:ascii="Arial" w:hAnsi="Arial" w:cs="Arial"/>
                <w:sz w:val="24"/>
                <w:szCs w:val="24"/>
              </w:rPr>
            </w:pPr>
            <w:r w:rsidRPr="00BA7885">
              <w:rPr>
                <w:rFonts w:ascii="Arial" w:hAnsi="Arial" w:cs="Arial"/>
                <w:sz w:val="24"/>
                <w:szCs w:val="24"/>
              </w:rPr>
              <w:t>14.</w:t>
            </w:r>
          </w:p>
        </w:tc>
        <w:tc>
          <w:tcPr>
            <w:tcW w:w="3402" w:type="dxa"/>
          </w:tcPr>
          <w:p w:rsidR="00F26574" w:rsidRPr="00BA7885" w:rsidRDefault="00F26574" w:rsidP="000B3CB9">
            <w:pPr>
              <w:rPr>
                <w:rFonts w:ascii="Arial" w:hAnsi="Arial" w:cs="Arial"/>
                <w:sz w:val="24"/>
                <w:szCs w:val="24"/>
              </w:rPr>
            </w:pPr>
            <w:proofErr w:type="spellStart"/>
            <w:r w:rsidRPr="00BA7885">
              <w:rPr>
                <w:rFonts w:ascii="Arial" w:hAnsi="Arial" w:cs="Arial"/>
                <w:sz w:val="24"/>
                <w:szCs w:val="24"/>
              </w:rPr>
              <w:t>Živinice</w:t>
            </w:r>
            <w:proofErr w:type="spellEnd"/>
          </w:p>
        </w:tc>
        <w:tc>
          <w:tcPr>
            <w:tcW w:w="2155" w:type="dxa"/>
          </w:tcPr>
          <w:p w:rsidR="00F26574" w:rsidRPr="00BA7885" w:rsidRDefault="00F26574" w:rsidP="000B3CB9">
            <w:pPr>
              <w:jc w:val="right"/>
              <w:rPr>
                <w:rFonts w:ascii="Arial" w:hAnsi="Arial" w:cs="Arial"/>
                <w:sz w:val="24"/>
                <w:szCs w:val="24"/>
              </w:rPr>
            </w:pPr>
            <w:r w:rsidRPr="00BA7885">
              <w:rPr>
                <w:rFonts w:ascii="Arial" w:hAnsi="Arial" w:cs="Arial"/>
                <w:sz w:val="24"/>
                <w:szCs w:val="24"/>
              </w:rPr>
              <w:t>654.736,00</w:t>
            </w:r>
          </w:p>
        </w:tc>
        <w:tc>
          <w:tcPr>
            <w:tcW w:w="2155" w:type="dxa"/>
          </w:tcPr>
          <w:p w:rsidR="00F26574" w:rsidRPr="00BA7885" w:rsidRDefault="00F26574" w:rsidP="000B3CB9">
            <w:pPr>
              <w:jc w:val="right"/>
              <w:rPr>
                <w:rFonts w:ascii="Arial" w:hAnsi="Arial" w:cs="Arial"/>
                <w:color w:val="000000"/>
                <w:sz w:val="24"/>
                <w:szCs w:val="24"/>
              </w:rPr>
            </w:pPr>
            <w:r w:rsidRPr="00BA7885">
              <w:rPr>
                <w:rFonts w:ascii="Arial" w:hAnsi="Arial" w:cs="Arial"/>
                <w:color w:val="000000"/>
                <w:sz w:val="24"/>
                <w:szCs w:val="24"/>
              </w:rPr>
              <w:t>957.924,00</w:t>
            </w:r>
          </w:p>
        </w:tc>
      </w:tr>
      <w:tr w:rsidR="00F26574" w:rsidRPr="00BA7885" w:rsidTr="000B3CB9">
        <w:tc>
          <w:tcPr>
            <w:tcW w:w="993" w:type="dxa"/>
          </w:tcPr>
          <w:p w:rsidR="00F26574" w:rsidRPr="00BA7885" w:rsidRDefault="00F26574" w:rsidP="000B3CB9">
            <w:pPr>
              <w:jc w:val="center"/>
              <w:rPr>
                <w:rFonts w:ascii="Arial" w:hAnsi="Arial" w:cs="Arial"/>
                <w:sz w:val="24"/>
                <w:szCs w:val="24"/>
              </w:rPr>
            </w:pPr>
            <w:r w:rsidRPr="00BA7885">
              <w:rPr>
                <w:rFonts w:ascii="Arial" w:hAnsi="Arial" w:cs="Arial"/>
                <w:sz w:val="24"/>
                <w:szCs w:val="24"/>
              </w:rPr>
              <w:t>15.</w:t>
            </w:r>
          </w:p>
        </w:tc>
        <w:tc>
          <w:tcPr>
            <w:tcW w:w="3402" w:type="dxa"/>
          </w:tcPr>
          <w:p w:rsidR="00F26574" w:rsidRPr="00BA7885" w:rsidRDefault="00F26574" w:rsidP="000B3CB9">
            <w:pPr>
              <w:rPr>
                <w:rFonts w:ascii="Arial" w:hAnsi="Arial" w:cs="Arial"/>
                <w:sz w:val="24"/>
                <w:szCs w:val="24"/>
              </w:rPr>
            </w:pPr>
            <w:proofErr w:type="spellStart"/>
            <w:r w:rsidRPr="00BA7885">
              <w:rPr>
                <w:rFonts w:ascii="Arial" w:hAnsi="Arial" w:cs="Arial"/>
                <w:sz w:val="24"/>
                <w:szCs w:val="24"/>
              </w:rPr>
              <w:t>Zenica</w:t>
            </w:r>
            <w:proofErr w:type="spellEnd"/>
          </w:p>
        </w:tc>
        <w:tc>
          <w:tcPr>
            <w:tcW w:w="2155" w:type="dxa"/>
          </w:tcPr>
          <w:p w:rsidR="00F26574" w:rsidRPr="00BA7885" w:rsidRDefault="00F26574" w:rsidP="000B3CB9">
            <w:pPr>
              <w:jc w:val="right"/>
              <w:rPr>
                <w:rFonts w:ascii="Arial" w:hAnsi="Arial" w:cs="Arial"/>
                <w:sz w:val="24"/>
                <w:szCs w:val="24"/>
              </w:rPr>
            </w:pPr>
            <w:r w:rsidRPr="00BA7885">
              <w:rPr>
                <w:rFonts w:ascii="Arial" w:hAnsi="Arial" w:cs="Arial"/>
                <w:sz w:val="24"/>
                <w:szCs w:val="24"/>
              </w:rPr>
              <w:t>1.133.635,00</w:t>
            </w:r>
          </w:p>
        </w:tc>
        <w:tc>
          <w:tcPr>
            <w:tcW w:w="2155" w:type="dxa"/>
          </w:tcPr>
          <w:p w:rsidR="00F26574" w:rsidRPr="00BA7885" w:rsidRDefault="00F26574" w:rsidP="000B3CB9">
            <w:pPr>
              <w:jc w:val="right"/>
              <w:rPr>
                <w:rFonts w:ascii="Arial" w:hAnsi="Arial" w:cs="Arial"/>
                <w:color w:val="000000"/>
                <w:sz w:val="24"/>
                <w:szCs w:val="24"/>
              </w:rPr>
            </w:pPr>
            <w:r w:rsidRPr="00BA7885">
              <w:rPr>
                <w:rFonts w:ascii="Arial" w:hAnsi="Arial" w:cs="Arial"/>
                <w:color w:val="000000"/>
                <w:sz w:val="24"/>
                <w:szCs w:val="24"/>
              </w:rPr>
              <w:t>1.658.586,00</w:t>
            </w:r>
          </w:p>
        </w:tc>
      </w:tr>
      <w:tr w:rsidR="00F26574" w:rsidRPr="00BA7885" w:rsidTr="000B3CB9">
        <w:tc>
          <w:tcPr>
            <w:tcW w:w="993" w:type="dxa"/>
          </w:tcPr>
          <w:p w:rsidR="00F26574" w:rsidRPr="00BA7885" w:rsidRDefault="00F26574" w:rsidP="000B3CB9">
            <w:pPr>
              <w:jc w:val="center"/>
              <w:rPr>
                <w:rFonts w:ascii="Arial" w:hAnsi="Arial" w:cs="Arial"/>
                <w:sz w:val="24"/>
                <w:szCs w:val="24"/>
              </w:rPr>
            </w:pPr>
            <w:r w:rsidRPr="00BA7885">
              <w:rPr>
                <w:rFonts w:ascii="Arial" w:hAnsi="Arial" w:cs="Arial"/>
                <w:sz w:val="24"/>
                <w:szCs w:val="24"/>
              </w:rPr>
              <w:t>16.</w:t>
            </w:r>
          </w:p>
        </w:tc>
        <w:tc>
          <w:tcPr>
            <w:tcW w:w="3402" w:type="dxa"/>
          </w:tcPr>
          <w:p w:rsidR="00F26574" w:rsidRPr="00BA7885" w:rsidRDefault="00F26574" w:rsidP="000B3CB9">
            <w:pPr>
              <w:rPr>
                <w:rFonts w:ascii="Arial" w:hAnsi="Arial" w:cs="Arial"/>
                <w:sz w:val="24"/>
                <w:szCs w:val="24"/>
              </w:rPr>
            </w:pPr>
            <w:proofErr w:type="spellStart"/>
            <w:r w:rsidRPr="00BA7885">
              <w:rPr>
                <w:rFonts w:ascii="Arial" w:hAnsi="Arial" w:cs="Arial"/>
                <w:sz w:val="24"/>
                <w:szCs w:val="24"/>
              </w:rPr>
              <w:t>Lukavac</w:t>
            </w:r>
            <w:proofErr w:type="spellEnd"/>
          </w:p>
        </w:tc>
        <w:tc>
          <w:tcPr>
            <w:tcW w:w="2155" w:type="dxa"/>
          </w:tcPr>
          <w:p w:rsidR="00F26574" w:rsidRPr="00BA7885" w:rsidRDefault="00F26574" w:rsidP="000B3CB9">
            <w:pPr>
              <w:jc w:val="right"/>
              <w:rPr>
                <w:rFonts w:ascii="Arial" w:hAnsi="Arial" w:cs="Arial"/>
                <w:sz w:val="24"/>
                <w:szCs w:val="24"/>
              </w:rPr>
            </w:pPr>
            <w:r w:rsidRPr="00BA7885">
              <w:rPr>
                <w:rFonts w:ascii="Arial" w:hAnsi="Arial" w:cs="Arial"/>
                <w:sz w:val="24"/>
                <w:szCs w:val="24"/>
              </w:rPr>
              <w:t>471.494,00</w:t>
            </w:r>
          </w:p>
        </w:tc>
        <w:tc>
          <w:tcPr>
            <w:tcW w:w="2155" w:type="dxa"/>
          </w:tcPr>
          <w:p w:rsidR="00F26574" w:rsidRPr="00BA7885" w:rsidRDefault="00F26574" w:rsidP="000B3CB9">
            <w:pPr>
              <w:jc w:val="right"/>
              <w:rPr>
                <w:rFonts w:ascii="Arial" w:hAnsi="Arial" w:cs="Arial"/>
                <w:color w:val="000000"/>
                <w:sz w:val="24"/>
                <w:szCs w:val="24"/>
              </w:rPr>
            </w:pPr>
            <w:r w:rsidRPr="00BA7885">
              <w:rPr>
                <w:rFonts w:ascii="Arial" w:hAnsi="Arial" w:cs="Arial"/>
                <w:color w:val="000000"/>
                <w:sz w:val="24"/>
                <w:szCs w:val="24"/>
              </w:rPr>
              <w:t>689.828,00</w:t>
            </w:r>
          </w:p>
        </w:tc>
      </w:tr>
      <w:tr w:rsidR="00F26574" w:rsidRPr="00BA7885" w:rsidTr="000B3CB9">
        <w:tc>
          <w:tcPr>
            <w:tcW w:w="993" w:type="dxa"/>
          </w:tcPr>
          <w:p w:rsidR="00F26574" w:rsidRPr="00BA7885" w:rsidRDefault="00F26574" w:rsidP="000B3CB9">
            <w:pPr>
              <w:jc w:val="center"/>
              <w:rPr>
                <w:rFonts w:ascii="Arial" w:hAnsi="Arial" w:cs="Arial"/>
                <w:sz w:val="24"/>
                <w:szCs w:val="24"/>
              </w:rPr>
            </w:pPr>
            <w:r w:rsidRPr="00BA7885">
              <w:rPr>
                <w:rFonts w:ascii="Arial" w:hAnsi="Arial" w:cs="Arial"/>
                <w:sz w:val="24"/>
                <w:szCs w:val="24"/>
              </w:rPr>
              <w:t>17.</w:t>
            </w:r>
          </w:p>
        </w:tc>
        <w:tc>
          <w:tcPr>
            <w:tcW w:w="3402" w:type="dxa"/>
          </w:tcPr>
          <w:p w:rsidR="00F26574" w:rsidRPr="00BA7885" w:rsidRDefault="00F26574" w:rsidP="000B3CB9">
            <w:pPr>
              <w:rPr>
                <w:rFonts w:ascii="Arial" w:hAnsi="Arial" w:cs="Arial"/>
                <w:sz w:val="24"/>
                <w:szCs w:val="24"/>
              </w:rPr>
            </w:pPr>
            <w:proofErr w:type="spellStart"/>
            <w:r w:rsidRPr="00BA7885">
              <w:rPr>
                <w:rFonts w:ascii="Arial" w:hAnsi="Arial" w:cs="Arial"/>
                <w:sz w:val="24"/>
                <w:szCs w:val="24"/>
              </w:rPr>
              <w:t>Olovo</w:t>
            </w:r>
            <w:proofErr w:type="spellEnd"/>
          </w:p>
        </w:tc>
        <w:tc>
          <w:tcPr>
            <w:tcW w:w="2155" w:type="dxa"/>
          </w:tcPr>
          <w:p w:rsidR="00F26574" w:rsidRPr="00BA7885" w:rsidRDefault="00F26574" w:rsidP="000B3CB9">
            <w:pPr>
              <w:jc w:val="right"/>
              <w:rPr>
                <w:rFonts w:ascii="Arial" w:hAnsi="Arial" w:cs="Arial"/>
                <w:sz w:val="24"/>
                <w:szCs w:val="24"/>
              </w:rPr>
            </w:pPr>
            <w:r w:rsidRPr="00BA7885">
              <w:rPr>
                <w:rFonts w:ascii="Arial" w:hAnsi="Arial" w:cs="Arial"/>
                <w:sz w:val="24"/>
                <w:szCs w:val="24"/>
              </w:rPr>
              <w:t>113.972,00</w:t>
            </w:r>
          </w:p>
        </w:tc>
        <w:tc>
          <w:tcPr>
            <w:tcW w:w="2155" w:type="dxa"/>
          </w:tcPr>
          <w:p w:rsidR="00F26574" w:rsidRPr="00BA7885" w:rsidRDefault="00F26574" w:rsidP="000B3CB9">
            <w:pPr>
              <w:jc w:val="right"/>
              <w:rPr>
                <w:rFonts w:ascii="Arial" w:hAnsi="Arial" w:cs="Arial"/>
                <w:color w:val="000000"/>
                <w:sz w:val="24"/>
                <w:szCs w:val="24"/>
              </w:rPr>
            </w:pPr>
            <w:r w:rsidRPr="00BA7885">
              <w:rPr>
                <w:rFonts w:ascii="Arial" w:hAnsi="Arial" w:cs="Arial"/>
                <w:color w:val="000000"/>
                <w:sz w:val="24"/>
                <w:szCs w:val="24"/>
              </w:rPr>
              <w:t>166.749,00</w:t>
            </w:r>
          </w:p>
        </w:tc>
      </w:tr>
      <w:tr w:rsidR="00F26574" w:rsidRPr="00BA7885" w:rsidTr="000B3CB9">
        <w:tc>
          <w:tcPr>
            <w:tcW w:w="993" w:type="dxa"/>
          </w:tcPr>
          <w:p w:rsidR="00F26574" w:rsidRPr="00BA7885" w:rsidRDefault="00F26574" w:rsidP="000B3CB9">
            <w:pPr>
              <w:jc w:val="center"/>
              <w:rPr>
                <w:rFonts w:ascii="Arial" w:hAnsi="Arial" w:cs="Arial"/>
                <w:sz w:val="24"/>
                <w:szCs w:val="24"/>
              </w:rPr>
            </w:pPr>
            <w:r w:rsidRPr="00BA7885">
              <w:rPr>
                <w:rFonts w:ascii="Arial" w:hAnsi="Arial" w:cs="Arial"/>
                <w:sz w:val="24"/>
                <w:szCs w:val="24"/>
              </w:rPr>
              <w:lastRenderedPageBreak/>
              <w:t>18.</w:t>
            </w:r>
          </w:p>
        </w:tc>
        <w:tc>
          <w:tcPr>
            <w:tcW w:w="3402" w:type="dxa"/>
          </w:tcPr>
          <w:p w:rsidR="00F26574" w:rsidRPr="00BA7885" w:rsidRDefault="00F26574" w:rsidP="000B3CB9">
            <w:pPr>
              <w:rPr>
                <w:rFonts w:ascii="Arial" w:hAnsi="Arial" w:cs="Arial"/>
                <w:sz w:val="24"/>
                <w:szCs w:val="24"/>
              </w:rPr>
            </w:pPr>
            <w:proofErr w:type="spellStart"/>
            <w:r w:rsidRPr="00BA7885">
              <w:rPr>
                <w:rFonts w:ascii="Arial" w:hAnsi="Arial" w:cs="Arial"/>
                <w:sz w:val="24"/>
                <w:szCs w:val="24"/>
              </w:rPr>
              <w:t>Gračanica</w:t>
            </w:r>
            <w:proofErr w:type="spellEnd"/>
          </w:p>
        </w:tc>
        <w:tc>
          <w:tcPr>
            <w:tcW w:w="2155" w:type="dxa"/>
          </w:tcPr>
          <w:p w:rsidR="00F26574" w:rsidRPr="00BA7885" w:rsidRDefault="00F26574" w:rsidP="000B3CB9">
            <w:pPr>
              <w:jc w:val="right"/>
              <w:rPr>
                <w:rFonts w:ascii="Arial" w:hAnsi="Arial" w:cs="Arial"/>
                <w:sz w:val="24"/>
                <w:szCs w:val="24"/>
              </w:rPr>
            </w:pPr>
            <w:r w:rsidRPr="00BA7885">
              <w:rPr>
                <w:rFonts w:ascii="Arial" w:hAnsi="Arial" w:cs="Arial"/>
                <w:sz w:val="24"/>
                <w:szCs w:val="24"/>
              </w:rPr>
              <w:t>464.093,00</w:t>
            </w:r>
          </w:p>
        </w:tc>
        <w:tc>
          <w:tcPr>
            <w:tcW w:w="2155" w:type="dxa"/>
          </w:tcPr>
          <w:p w:rsidR="00F26574" w:rsidRPr="00BA7885" w:rsidRDefault="00F26574" w:rsidP="000B3CB9">
            <w:pPr>
              <w:jc w:val="right"/>
              <w:rPr>
                <w:rFonts w:ascii="Arial" w:hAnsi="Arial" w:cs="Arial"/>
                <w:color w:val="000000"/>
                <w:sz w:val="24"/>
                <w:szCs w:val="24"/>
              </w:rPr>
            </w:pPr>
            <w:r w:rsidRPr="00BA7885">
              <w:rPr>
                <w:rFonts w:ascii="Arial" w:hAnsi="Arial" w:cs="Arial"/>
                <w:color w:val="000000"/>
                <w:sz w:val="24"/>
                <w:szCs w:val="24"/>
              </w:rPr>
              <w:t>679.000,00</w:t>
            </w:r>
          </w:p>
        </w:tc>
      </w:tr>
      <w:tr w:rsidR="00F26574" w:rsidRPr="00BA7885" w:rsidTr="000B3CB9">
        <w:tc>
          <w:tcPr>
            <w:tcW w:w="993" w:type="dxa"/>
          </w:tcPr>
          <w:p w:rsidR="00F26574" w:rsidRPr="00BA7885" w:rsidRDefault="00F26574" w:rsidP="000B3CB9">
            <w:pPr>
              <w:jc w:val="center"/>
              <w:rPr>
                <w:rFonts w:ascii="Arial" w:hAnsi="Arial" w:cs="Arial"/>
                <w:sz w:val="24"/>
                <w:szCs w:val="24"/>
              </w:rPr>
            </w:pPr>
            <w:r w:rsidRPr="00BA7885">
              <w:rPr>
                <w:rFonts w:ascii="Arial" w:hAnsi="Arial" w:cs="Arial"/>
                <w:sz w:val="24"/>
                <w:szCs w:val="24"/>
              </w:rPr>
              <w:t>19.</w:t>
            </w:r>
          </w:p>
        </w:tc>
        <w:tc>
          <w:tcPr>
            <w:tcW w:w="3402" w:type="dxa"/>
          </w:tcPr>
          <w:p w:rsidR="00F26574" w:rsidRPr="00BA7885" w:rsidRDefault="00F26574" w:rsidP="000B3CB9">
            <w:pPr>
              <w:rPr>
                <w:rFonts w:ascii="Arial" w:hAnsi="Arial" w:cs="Arial"/>
                <w:sz w:val="24"/>
                <w:szCs w:val="24"/>
              </w:rPr>
            </w:pPr>
            <w:proofErr w:type="spellStart"/>
            <w:r w:rsidRPr="00BA7885">
              <w:rPr>
                <w:rFonts w:ascii="Arial" w:hAnsi="Arial" w:cs="Arial"/>
                <w:sz w:val="24"/>
                <w:szCs w:val="24"/>
              </w:rPr>
              <w:t>Kalesija</w:t>
            </w:r>
            <w:proofErr w:type="spellEnd"/>
          </w:p>
        </w:tc>
        <w:tc>
          <w:tcPr>
            <w:tcW w:w="2155" w:type="dxa"/>
          </w:tcPr>
          <w:p w:rsidR="00F26574" w:rsidRPr="00BA7885" w:rsidRDefault="00F26574" w:rsidP="000B3CB9">
            <w:pPr>
              <w:jc w:val="right"/>
              <w:rPr>
                <w:rFonts w:ascii="Arial" w:hAnsi="Arial" w:cs="Arial"/>
                <w:sz w:val="24"/>
                <w:szCs w:val="24"/>
              </w:rPr>
            </w:pPr>
            <w:r w:rsidRPr="00BA7885">
              <w:rPr>
                <w:rFonts w:ascii="Arial" w:hAnsi="Arial" w:cs="Arial"/>
                <w:sz w:val="24"/>
                <w:szCs w:val="24"/>
              </w:rPr>
              <w:t>369.862,00</w:t>
            </w:r>
          </w:p>
        </w:tc>
        <w:tc>
          <w:tcPr>
            <w:tcW w:w="2155" w:type="dxa"/>
          </w:tcPr>
          <w:p w:rsidR="00F26574" w:rsidRPr="00BA7885" w:rsidRDefault="00F26574" w:rsidP="000B3CB9">
            <w:pPr>
              <w:jc w:val="right"/>
              <w:rPr>
                <w:rFonts w:ascii="Arial" w:hAnsi="Arial" w:cs="Arial"/>
                <w:color w:val="000000"/>
                <w:sz w:val="24"/>
                <w:szCs w:val="24"/>
              </w:rPr>
            </w:pPr>
            <w:r w:rsidRPr="00BA7885">
              <w:rPr>
                <w:rFonts w:ascii="Arial" w:hAnsi="Arial" w:cs="Arial"/>
                <w:color w:val="000000"/>
                <w:sz w:val="24"/>
                <w:szCs w:val="24"/>
              </w:rPr>
              <w:t>541.134,00</w:t>
            </w:r>
          </w:p>
        </w:tc>
      </w:tr>
      <w:tr w:rsidR="00F26574" w:rsidRPr="00BA7885" w:rsidTr="000B3CB9">
        <w:tc>
          <w:tcPr>
            <w:tcW w:w="993" w:type="dxa"/>
          </w:tcPr>
          <w:p w:rsidR="00F26574" w:rsidRPr="00BA7885" w:rsidRDefault="00F26574" w:rsidP="000B3CB9">
            <w:pPr>
              <w:jc w:val="center"/>
              <w:rPr>
                <w:rFonts w:ascii="Arial" w:hAnsi="Arial" w:cs="Arial"/>
                <w:sz w:val="24"/>
                <w:szCs w:val="24"/>
              </w:rPr>
            </w:pPr>
            <w:r w:rsidRPr="00BA7885">
              <w:rPr>
                <w:rFonts w:ascii="Arial" w:hAnsi="Arial" w:cs="Arial"/>
                <w:sz w:val="24"/>
                <w:szCs w:val="24"/>
              </w:rPr>
              <w:t>20.</w:t>
            </w:r>
          </w:p>
        </w:tc>
        <w:tc>
          <w:tcPr>
            <w:tcW w:w="3402" w:type="dxa"/>
          </w:tcPr>
          <w:p w:rsidR="00F26574" w:rsidRPr="00BA7885" w:rsidRDefault="00F26574" w:rsidP="000B3CB9">
            <w:pPr>
              <w:rPr>
                <w:rFonts w:ascii="Arial" w:hAnsi="Arial" w:cs="Arial"/>
                <w:sz w:val="24"/>
                <w:szCs w:val="24"/>
              </w:rPr>
            </w:pPr>
            <w:proofErr w:type="spellStart"/>
            <w:r w:rsidRPr="00BA7885">
              <w:rPr>
                <w:rFonts w:ascii="Arial" w:hAnsi="Arial" w:cs="Arial"/>
                <w:sz w:val="24"/>
                <w:szCs w:val="24"/>
              </w:rPr>
              <w:t>Usora</w:t>
            </w:r>
            <w:proofErr w:type="spellEnd"/>
          </w:p>
        </w:tc>
        <w:tc>
          <w:tcPr>
            <w:tcW w:w="2155" w:type="dxa"/>
          </w:tcPr>
          <w:p w:rsidR="00F26574" w:rsidRPr="00BA7885" w:rsidRDefault="00F26574" w:rsidP="000B3CB9">
            <w:pPr>
              <w:jc w:val="right"/>
              <w:rPr>
                <w:rFonts w:ascii="Arial" w:hAnsi="Arial" w:cs="Arial"/>
                <w:sz w:val="24"/>
                <w:szCs w:val="24"/>
              </w:rPr>
            </w:pPr>
            <w:r w:rsidRPr="00BA7885">
              <w:rPr>
                <w:rFonts w:ascii="Arial" w:hAnsi="Arial" w:cs="Arial"/>
                <w:sz w:val="24"/>
                <w:szCs w:val="24"/>
              </w:rPr>
              <w:t>72.067,00</w:t>
            </w:r>
          </w:p>
        </w:tc>
        <w:tc>
          <w:tcPr>
            <w:tcW w:w="2155" w:type="dxa"/>
          </w:tcPr>
          <w:p w:rsidR="00F26574" w:rsidRPr="00BA7885" w:rsidRDefault="00F26574" w:rsidP="000B3CB9">
            <w:pPr>
              <w:jc w:val="right"/>
              <w:rPr>
                <w:rFonts w:ascii="Arial" w:hAnsi="Arial" w:cs="Arial"/>
                <w:color w:val="000000"/>
                <w:sz w:val="24"/>
                <w:szCs w:val="24"/>
              </w:rPr>
            </w:pPr>
            <w:r w:rsidRPr="00BA7885">
              <w:rPr>
                <w:rFonts w:ascii="Arial" w:hAnsi="Arial" w:cs="Arial"/>
                <w:color w:val="000000"/>
                <w:sz w:val="24"/>
                <w:szCs w:val="24"/>
              </w:rPr>
              <w:t>105.439,00</w:t>
            </w:r>
          </w:p>
        </w:tc>
      </w:tr>
      <w:tr w:rsidR="00F26574" w:rsidRPr="00BA7885" w:rsidTr="000B3CB9">
        <w:tc>
          <w:tcPr>
            <w:tcW w:w="993" w:type="dxa"/>
          </w:tcPr>
          <w:p w:rsidR="00F26574" w:rsidRPr="00BA7885" w:rsidRDefault="00F26574" w:rsidP="000B3CB9">
            <w:pPr>
              <w:jc w:val="center"/>
              <w:rPr>
                <w:rFonts w:ascii="Arial" w:hAnsi="Arial" w:cs="Arial"/>
                <w:sz w:val="24"/>
                <w:szCs w:val="24"/>
              </w:rPr>
            </w:pPr>
            <w:r w:rsidRPr="00BA7885">
              <w:rPr>
                <w:rFonts w:ascii="Arial" w:hAnsi="Arial" w:cs="Arial"/>
                <w:sz w:val="24"/>
                <w:szCs w:val="24"/>
              </w:rPr>
              <w:t>21.</w:t>
            </w:r>
          </w:p>
        </w:tc>
        <w:tc>
          <w:tcPr>
            <w:tcW w:w="3402" w:type="dxa"/>
          </w:tcPr>
          <w:p w:rsidR="00F26574" w:rsidRPr="00BA7885" w:rsidRDefault="00F26574" w:rsidP="000B3CB9">
            <w:pPr>
              <w:rPr>
                <w:rFonts w:ascii="Arial" w:hAnsi="Arial" w:cs="Arial"/>
                <w:sz w:val="24"/>
                <w:szCs w:val="24"/>
              </w:rPr>
            </w:pPr>
            <w:proofErr w:type="spellStart"/>
            <w:r w:rsidRPr="00BA7885">
              <w:rPr>
                <w:rFonts w:ascii="Arial" w:hAnsi="Arial" w:cs="Arial"/>
                <w:sz w:val="24"/>
                <w:szCs w:val="24"/>
              </w:rPr>
              <w:t>Teočak</w:t>
            </w:r>
            <w:proofErr w:type="spellEnd"/>
          </w:p>
        </w:tc>
        <w:tc>
          <w:tcPr>
            <w:tcW w:w="2155" w:type="dxa"/>
          </w:tcPr>
          <w:p w:rsidR="00F26574" w:rsidRPr="00BA7885" w:rsidRDefault="00F26574" w:rsidP="000B3CB9">
            <w:pPr>
              <w:jc w:val="right"/>
              <w:rPr>
                <w:rFonts w:ascii="Arial" w:hAnsi="Arial" w:cs="Arial"/>
                <w:sz w:val="24"/>
                <w:szCs w:val="24"/>
              </w:rPr>
            </w:pPr>
            <w:r w:rsidRPr="00BA7885">
              <w:rPr>
                <w:rFonts w:ascii="Arial" w:hAnsi="Arial" w:cs="Arial"/>
                <w:sz w:val="24"/>
                <w:szCs w:val="24"/>
              </w:rPr>
              <w:t>75.545,00</w:t>
            </w:r>
          </w:p>
        </w:tc>
        <w:tc>
          <w:tcPr>
            <w:tcW w:w="2155" w:type="dxa"/>
          </w:tcPr>
          <w:p w:rsidR="00F26574" w:rsidRPr="00BA7885" w:rsidRDefault="00F26574" w:rsidP="000B3CB9">
            <w:pPr>
              <w:jc w:val="right"/>
              <w:rPr>
                <w:rFonts w:ascii="Arial" w:hAnsi="Arial" w:cs="Arial"/>
                <w:color w:val="000000"/>
                <w:sz w:val="24"/>
                <w:szCs w:val="24"/>
              </w:rPr>
            </w:pPr>
            <w:r w:rsidRPr="00BA7885">
              <w:rPr>
                <w:rFonts w:ascii="Arial" w:hAnsi="Arial" w:cs="Arial"/>
                <w:color w:val="000000"/>
                <w:sz w:val="24"/>
                <w:szCs w:val="24"/>
              </w:rPr>
              <w:t>110.528,00</w:t>
            </w:r>
          </w:p>
        </w:tc>
      </w:tr>
      <w:tr w:rsidR="00F26574" w:rsidRPr="00BA7885" w:rsidTr="000B3CB9">
        <w:tc>
          <w:tcPr>
            <w:tcW w:w="993" w:type="dxa"/>
          </w:tcPr>
          <w:p w:rsidR="00F26574" w:rsidRPr="00BA7885" w:rsidRDefault="00F26574" w:rsidP="000B3CB9">
            <w:pPr>
              <w:rPr>
                <w:rFonts w:ascii="Arial" w:hAnsi="Arial" w:cs="Arial"/>
                <w:b/>
                <w:sz w:val="24"/>
                <w:szCs w:val="24"/>
              </w:rPr>
            </w:pPr>
          </w:p>
        </w:tc>
        <w:tc>
          <w:tcPr>
            <w:tcW w:w="3402" w:type="dxa"/>
          </w:tcPr>
          <w:p w:rsidR="00F26574" w:rsidRPr="00BA7885" w:rsidRDefault="00F26574" w:rsidP="000B3CB9">
            <w:pPr>
              <w:rPr>
                <w:rFonts w:ascii="Arial" w:hAnsi="Arial" w:cs="Arial"/>
                <w:b/>
                <w:sz w:val="24"/>
                <w:szCs w:val="24"/>
              </w:rPr>
            </w:pPr>
            <w:proofErr w:type="spellStart"/>
            <w:r w:rsidRPr="00BA7885">
              <w:rPr>
                <w:rFonts w:ascii="Arial" w:hAnsi="Arial" w:cs="Arial"/>
                <w:b/>
                <w:sz w:val="24"/>
                <w:szCs w:val="24"/>
              </w:rPr>
              <w:t>Ukupno</w:t>
            </w:r>
            <w:proofErr w:type="spellEnd"/>
          </w:p>
        </w:tc>
        <w:tc>
          <w:tcPr>
            <w:tcW w:w="2155" w:type="dxa"/>
          </w:tcPr>
          <w:p w:rsidR="00F26574" w:rsidRPr="00BA7885" w:rsidRDefault="00F26574" w:rsidP="000B3CB9">
            <w:pPr>
              <w:jc w:val="right"/>
              <w:rPr>
                <w:rFonts w:ascii="Arial" w:hAnsi="Arial" w:cs="Arial"/>
                <w:b/>
                <w:sz w:val="24"/>
                <w:szCs w:val="24"/>
              </w:rPr>
            </w:pPr>
            <w:r w:rsidRPr="00BA7885">
              <w:rPr>
                <w:rFonts w:ascii="Arial" w:hAnsi="Arial" w:cs="Arial"/>
                <w:b/>
                <w:sz w:val="24"/>
                <w:szCs w:val="24"/>
              </w:rPr>
              <w:t>10.260.000,00</w:t>
            </w:r>
          </w:p>
        </w:tc>
        <w:tc>
          <w:tcPr>
            <w:tcW w:w="2155" w:type="dxa"/>
          </w:tcPr>
          <w:p w:rsidR="00F26574" w:rsidRPr="00BA7885" w:rsidRDefault="00F26574" w:rsidP="000B3CB9">
            <w:pPr>
              <w:jc w:val="right"/>
              <w:rPr>
                <w:rFonts w:ascii="Arial" w:hAnsi="Arial" w:cs="Arial"/>
                <w:b/>
                <w:color w:val="000000"/>
                <w:sz w:val="24"/>
                <w:szCs w:val="24"/>
              </w:rPr>
            </w:pPr>
            <w:r w:rsidRPr="00BA7885">
              <w:rPr>
                <w:rFonts w:ascii="Arial" w:hAnsi="Arial" w:cs="Arial"/>
                <w:b/>
                <w:color w:val="000000"/>
                <w:sz w:val="24"/>
                <w:szCs w:val="24"/>
              </w:rPr>
              <w:t>15.011.088,00</w:t>
            </w:r>
          </w:p>
        </w:tc>
      </w:tr>
    </w:tbl>
    <w:p w:rsidR="00932C2C" w:rsidRDefault="00932C2C" w:rsidP="00034196">
      <w:pPr>
        <w:rPr>
          <w:rFonts w:ascii="Arial" w:hAnsi="Arial" w:cs="Arial"/>
          <w:sz w:val="24"/>
          <w:szCs w:val="24"/>
          <w:lang w:val="bs-Latn-BA"/>
        </w:rPr>
      </w:pPr>
      <w:r w:rsidRPr="00932C2C">
        <w:rPr>
          <w:rFonts w:ascii="Arial" w:hAnsi="Arial" w:cs="Arial"/>
          <w:sz w:val="24"/>
          <w:szCs w:val="24"/>
          <w:lang w:val="bs-Latn-BA"/>
        </w:rPr>
        <w:t xml:space="preserve"> </w:t>
      </w:r>
    </w:p>
    <w:p w:rsidR="00F26574" w:rsidRDefault="00F26574" w:rsidP="00F07BB1">
      <w:pPr>
        <w:jc w:val="both"/>
        <w:rPr>
          <w:rFonts w:ascii="Arial" w:hAnsi="Arial" w:cs="Arial"/>
          <w:sz w:val="24"/>
          <w:szCs w:val="24"/>
          <w:lang w:val="bs-Latn-BA"/>
        </w:rPr>
      </w:pPr>
      <w:r>
        <w:rPr>
          <w:rFonts w:ascii="Arial" w:hAnsi="Arial" w:cs="Arial"/>
          <w:sz w:val="24"/>
          <w:szCs w:val="24"/>
          <w:lang w:val="bs-Latn-BA"/>
        </w:rPr>
        <w:t xml:space="preserve">Sa </w:t>
      </w:r>
      <w:r w:rsidRPr="00F07BB1">
        <w:rPr>
          <w:rFonts w:ascii="Arial" w:hAnsi="Arial" w:cs="Arial"/>
          <w:b/>
          <w:sz w:val="24"/>
          <w:szCs w:val="24"/>
          <w:lang w:val="bs-Latn-BA"/>
        </w:rPr>
        <w:t>EBRD-om</w:t>
      </w:r>
      <w:r>
        <w:rPr>
          <w:rFonts w:ascii="Arial" w:hAnsi="Arial" w:cs="Arial"/>
          <w:sz w:val="24"/>
          <w:szCs w:val="24"/>
          <w:lang w:val="bs-Latn-BA"/>
        </w:rPr>
        <w:t xml:space="preserve"> i </w:t>
      </w:r>
      <w:r w:rsidRPr="00F07BB1">
        <w:rPr>
          <w:rFonts w:ascii="Arial" w:hAnsi="Arial" w:cs="Arial"/>
          <w:b/>
          <w:sz w:val="24"/>
          <w:szCs w:val="24"/>
          <w:lang w:val="bs-Latn-BA"/>
        </w:rPr>
        <w:t>EIB-om</w:t>
      </w:r>
      <w:r>
        <w:rPr>
          <w:rFonts w:ascii="Arial" w:hAnsi="Arial" w:cs="Arial"/>
          <w:sz w:val="24"/>
          <w:szCs w:val="24"/>
          <w:lang w:val="bs-Latn-BA"/>
        </w:rPr>
        <w:t xml:space="preserve"> se konstantno razgovara, no još uvijek nisu utvrđeni ni konkretni projekti, a ni modaliteti buduće saradnje, koja bi bila rezultat Donatorske konferencije iz Brisela. </w:t>
      </w:r>
    </w:p>
    <w:p w:rsidR="00F26574" w:rsidRDefault="00F26574" w:rsidP="00F07BB1">
      <w:pPr>
        <w:jc w:val="both"/>
        <w:rPr>
          <w:rFonts w:ascii="Arial" w:hAnsi="Arial" w:cs="Arial"/>
          <w:sz w:val="24"/>
          <w:szCs w:val="24"/>
          <w:lang w:val="bs-Latn-BA"/>
        </w:rPr>
      </w:pPr>
      <w:r w:rsidRPr="00F07BB1">
        <w:rPr>
          <w:rFonts w:ascii="Arial" w:hAnsi="Arial" w:cs="Arial"/>
          <w:b/>
          <w:sz w:val="24"/>
          <w:szCs w:val="24"/>
          <w:lang w:val="bs-Latn-BA"/>
        </w:rPr>
        <w:t>Međunarodni monetarni fond</w:t>
      </w:r>
      <w:r w:rsidR="00F07BB1">
        <w:rPr>
          <w:rFonts w:ascii="Arial" w:hAnsi="Arial" w:cs="Arial"/>
          <w:sz w:val="24"/>
          <w:szCs w:val="24"/>
          <w:lang w:val="bs-Latn-BA"/>
        </w:rPr>
        <w:t xml:space="preserve"> (MMF)</w:t>
      </w:r>
      <w:r>
        <w:rPr>
          <w:rFonts w:ascii="Arial" w:hAnsi="Arial" w:cs="Arial"/>
          <w:sz w:val="24"/>
          <w:szCs w:val="24"/>
          <w:lang w:val="bs-Latn-BA"/>
        </w:rPr>
        <w:t xml:space="preserve"> je FBiH, u okviru IV SBA, doznačio dodatnih 92 mil KM (187 za BiH u omjeru 49 % FBiH, 49 RS i 2 % BD), </w:t>
      </w:r>
      <w:r w:rsidR="00F07BB1">
        <w:rPr>
          <w:rFonts w:ascii="Arial" w:hAnsi="Arial" w:cs="Arial"/>
          <w:sz w:val="24"/>
          <w:szCs w:val="24"/>
          <w:lang w:val="bs-Latn-BA"/>
        </w:rPr>
        <w:t>predviđenih za sanaciju pada javnih prihoda usljed prirodne nepogode, a isti</w:t>
      </w:r>
      <w:r>
        <w:rPr>
          <w:rFonts w:ascii="Arial" w:hAnsi="Arial" w:cs="Arial"/>
          <w:sz w:val="24"/>
          <w:szCs w:val="24"/>
          <w:lang w:val="bs-Latn-BA"/>
        </w:rPr>
        <w:t xml:space="preserve"> su ugrađeni u II Rebalans budž</w:t>
      </w:r>
      <w:r w:rsidR="00F07BB1">
        <w:rPr>
          <w:rFonts w:ascii="Arial" w:hAnsi="Arial" w:cs="Arial"/>
          <w:sz w:val="24"/>
          <w:szCs w:val="24"/>
          <w:lang w:val="bs-Latn-BA"/>
        </w:rPr>
        <w:t>eta FBiH i utrošeni, odnosno planirani na slijedećim pozicijama:</w:t>
      </w:r>
    </w:p>
    <w:p w:rsidR="00F07BB1" w:rsidRPr="00F07BB1" w:rsidRDefault="00F07BB1" w:rsidP="00F07BB1">
      <w:pPr>
        <w:jc w:val="both"/>
        <w:rPr>
          <w:rFonts w:ascii="Arial" w:hAnsi="Arial" w:cs="Arial"/>
          <w:sz w:val="24"/>
          <w:szCs w:val="24"/>
          <w:lang w:val="bs-Latn-BA"/>
        </w:rPr>
      </w:pPr>
      <w:r w:rsidRPr="00F07BB1">
        <w:rPr>
          <w:rFonts w:ascii="Arial" w:hAnsi="Arial" w:cs="Arial"/>
          <w:sz w:val="24"/>
          <w:szCs w:val="24"/>
          <w:lang w:val="bs-Latn-BA"/>
        </w:rPr>
        <w:t>Dodatnih 92 miliona KM, koje su pripale FBiH iz dodatnog dijela sredstava, predviđenog za sanaciju šteta, odnosno pada javnih prihoda su raspoređene u okviru II Rebalansa budžeta FBiH i to kako slijedi:</w:t>
      </w:r>
    </w:p>
    <w:p w:rsidR="00F07BB1" w:rsidRPr="00F07BB1" w:rsidRDefault="00F07BB1" w:rsidP="00F07BB1">
      <w:pPr>
        <w:pStyle w:val="ListParagraph"/>
        <w:numPr>
          <w:ilvl w:val="0"/>
          <w:numId w:val="6"/>
        </w:numPr>
        <w:spacing w:after="0" w:line="240" w:lineRule="auto"/>
        <w:contextualSpacing w:val="0"/>
        <w:jc w:val="both"/>
        <w:rPr>
          <w:rFonts w:ascii="Arial" w:hAnsi="Arial" w:cs="Arial"/>
          <w:sz w:val="24"/>
          <w:szCs w:val="24"/>
        </w:rPr>
      </w:pPr>
      <w:r w:rsidRPr="00F07BB1">
        <w:rPr>
          <w:rFonts w:ascii="Arial" w:hAnsi="Arial" w:cs="Arial"/>
          <w:sz w:val="24"/>
          <w:szCs w:val="24"/>
        </w:rPr>
        <w:t>25 miliona KM je doznačeno Federalnom Zavodu PIO/MIO za održavanje likvidnosti i redovnu isplatu penzija, što je knjiženo kao otplata verifikovanog duga prema Zavodu PIO/MIO</w:t>
      </w:r>
    </w:p>
    <w:p w:rsidR="00F07BB1" w:rsidRPr="00F07BB1" w:rsidRDefault="00F07BB1" w:rsidP="00F07BB1">
      <w:pPr>
        <w:pStyle w:val="ListParagraph"/>
        <w:numPr>
          <w:ilvl w:val="0"/>
          <w:numId w:val="6"/>
        </w:numPr>
        <w:spacing w:after="0" w:line="240" w:lineRule="auto"/>
        <w:contextualSpacing w:val="0"/>
        <w:jc w:val="both"/>
        <w:rPr>
          <w:rFonts w:ascii="Arial" w:hAnsi="Arial" w:cs="Arial"/>
          <w:sz w:val="24"/>
          <w:szCs w:val="24"/>
        </w:rPr>
      </w:pPr>
      <w:r w:rsidRPr="00F07BB1">
        <w:rPr>
          <w:rFonts w:ascii="Arial" w:hAnsi="Arial" w:cs="Arial"/>
          <w:sz w:val="24"/>
          <w:szCs w:val="24"/>
        </w:rPr>
        <w:t>27 miliona KM je predviđeno u budžetu za sanaciju pada prihoda od indirektnih poreza</w:t>
      </w:r>
    </w:p>
    <w:p w:rsidR="00F07BB1" w:rsidRDefault="00F07BB1" w:rsidP="00F07BB1">
      <w:pPr>
        <w:pStyle w:val="ListParagraph"/>
        <w:numPr>
          <w:ilvl w:val="0"/>
          <w:numId w:val="6"/>
        </w:numPr>
        <w:jc w:val="both"/>
        <w:rPr>
          <w:rFonts w:ascii="Arial" w:hAnsi="Arial" w:cs="Arial"/>
          <w:sz w:val="24"/>
          <w:szCs w:val="24"/>
        </w:rPr>
      </w:pPr>
      <w:r w:rsidRPr="00F07BB1">
        <w:rPr>
          <w:rFonts w:ascii="Arial" w:hAnsi="Arial" w:cs="Arial"/>
          <w:sz w:val="24"/>
          <w:szCs w:val="24"/>
        </w:rPr>
        <w:t>40 miliona KM je stavljeno na raspolaganje kantonima po uslovima koje propisuje MMF</w:t>
      </w:r>
    </w:p>
    <w:p w:rsidR="00F07BB1" w:rsidRPr="00F07BB1" w:rsidRDefault="00F07BB1" w:rsidP="00F07BB1">
      <w:pPr>
        <w:jc w:val="both"/>
        <w:rPr>
          <w:rFonts w:ascii="Arial" w:hAnsi="Arial" w:cs="Arial"/>
          <w:sz w:val="24"/>
          <w:szCs w:val="24"/>
        </w:rPr>
      </w:pPr>
      <w:proofErr w:type="spellStart"/>
      <w:proofErr w:type="gramStart"/>
      <w:r>
        <w:rPr>
          <w:rFonts w:ascii="Arial" w:hAnsi="Arial" w:cs="Arial"/>
          <w:sz w:val="24"/>
          <w:szCs w:val="24"/>
        </w:rPr>
        <w:t>Još</w:t>
      </w:r>
      <w:proofErr w:type="spellEnd"/>
      <w:r>
        <w:rPr>
          <w:rFonts w:ascii="Arial" w:hAnsi="Arial" w:cs="Arial"/>
          <w:sz w:val="24"/>
          <w:szCs w:val="24"/>
        </w:rPr>
        <w:t xml:space="preserve"> </w:t>
      </w:r>
      <w:proofErr w:type="spellStart"/>
      <w:r>
        <w:rPr>
          <w:rFonts w:ascii="Arial" w:hAnsi="Arial" w:cs="Arial"/>
          <w:sz w:val="24"/>
          <w:szCs w:val="24"/>
        </w:rPr>
        <w:t>jednom</w:t>
      </w:r>
      <w:proofErr w:type="spellEnd"/>
      <w:r>
        <w:rPr>
          <w:rFonts w:ascii="Arial" w:hAnsi="Arial" w:cs="Arial"/>
          <w:sz w:val="24"/>
          <w:szCs w:val="24"/>
        </w:rPr>
        <w:t xml:space="preserve"> </w:t>
      </w:r>
      <w:proofErr w:type="spellStart"/>
      <w:r>
        <w:rPr>
          <w:rFonts w:ascii="Arial" w:hAnsi="Arial" w:cs="Arial"/>
          <w:sz w:val="24"/>
          <w:szCs w:val="24"/>
        </w:rPr>
        <w:t>želim</w:t>
      </w:r>
      <w:proofErr w:type="spellEnd"/>
      <w:r>
        <w:rPr>
          <w:rFonts w:ascii="Arial" w:hAnsi="Arial" w:cs="Arial"/>
          <w:sz w:val="24"/>
          <w:szCs w:val="24"/>
        </w:rPr>
        <w:t xml:space="preserve"> </w:t>
      </w:r>
      <w:proofErr w:type="spellStart"/>
      <w:r>
        <w:rPr>
          <w:rFonts w:ascii="Arial" w:hAnsi="Arial" w:cs="Arial"/>
          <w:sz w:val="24"/>
          <w:szCs w:val="24"/>
        </w:rPr>
        <w:t>istaći</w:t>
      </w:r>
      <w:proofErr w:type="spellEnd"/>
      <w:r>
        <w:rPr>
          <w:rFonts w:ascii="Arial" w:hAnsi="Arial" w:cs="Arial"/>
          <w:sz w:val="24"/>
          <w:szCs w:val="24"/>
        </w:rPr>
        <w:t xml:space="preserve"> da </w:t>
      </w:r>
      <w:proofErr w:type="spellStart"/>
      <w:r>
        <w:rPr>
          <w:rFonts w:ascii="Arial" w:hAnsi="Arial" w:cs="Arial"/>
          <w:sz w:val="24"/>
          <w:szCs w:val="24"/>
        </w:rPr>
        <w:t>su</w:t>
      </w:r>
      <w:proofErr w:type="spellEnd"/>
      <w:r>
        <w:rPr>
          <w:rFonts w:ascii="Arial" w:hAnsi="Arial" w:cs="Arial"/>
          <w:sz w:val="24"/>
          <w:szCs w:val="24"/>
        </w:rPr>
        <w:t xml:space="preserve"> </w:t>
      </w:r>
      <w:proofErr w:type="spellStart"/>
      <w:r>
        <w:rPr>
          <w:rFonts w:ascii="Arial" w:hAnsi="Arial" w:cs="Arial"/>
          <w:sz w:val="24"/>
          <w:szCs w:val="24"/>
        </w:rPr>
        <w:t>sredstva</w:t>
      </w:r>
      <w:proofErr w:type="spellEnd"/>
      <w:r>
        <w:rPr>
          <w:rFonts w:ascii="Arial" w:hAnsi="Arial" w:cs="Arial"/>
          <w:sz w:val="24"/>
          <w:szCs w:val="24"/>
        </w:rPr>
        <w:t xml:space="preserve"> MMF-a </w:t>
      </w:r>
      <w:proofErr w:type="spellStart"/>
      <w:r>
        <w:rPr>
          <w:rFonts w:ascii="Arial" w:hAnsi="Arial" w:cs="Arial"/>
          <w:sz w:val="24"/>
          <w:szCs w:val="24"/>
        </w:rPr>
        <w:t>doznačena</w:t>
      </w:r>
      <w:proofErr w:type="spellEnd"/>
      <w:r>
        <w:rPr>
          <w:rFonts w:ascii="Arial" w:hAnsi="Arial" w:cs="Arial"/>
          <w:sz w:val="24"/>
          <w:szCs w:val="24"/>
        </w:rPr>
        <w:t xml:space="preserve"> i </w:t>
      </w:r>
      <w:proofErr w:type="spellStart"/>
      <w:r>
        <w:rPr>
          <w:rFonts w:ascii="Arial" w:hAnsi="Arial" w:cs="Arial"/>
          <w:sz w:val="24"/>
          <w:szCs w:val="24"/>
        </w:rPr>
        <w:t>prije</w:t>
      </w:r>
      <w:proofErr w:type="spellEnd"/>
      <w:r>
        <w:rPr>
          <w:rFonts w:ascii="Arial" w:hAnsi="Arial" w:cs="Arial"/>
          <w:sz w:val="24"/>
          <w:szCs w:val="24"/>
        </w:rPr>
        <w:t xml:space="preserve"> </w:t>
      </w:r>
      <w:proofErr w:type="spellStart"/>
      <w:r>
        <w:rPr>
          <w:rFonts w:ascii="Arial" w:hAnsi="Arial" w:cs="Arial"/>
          <w:sz w:val="24"/>
          <w:szCs w:val="24"/>
        </w:rPr>
        <w:t>Donatorske</w:t>
      </w:r>
      <w:proofErr w:type="spellEnd"/>
      <w:r>
        <w:rPr>
          <w:rFonts w:ascii="Arial" w:hAnsi="Arial" w:cs="Arial"/>
          <w:sz w:val="24"/>
          <w:szCs w:val="24"/>
        </w:rPr>
        <w:t xml:space="preserve"> </w:t>
      </w:r>
      <w:proofErr w:type="spellStart"/>
      <w:r>
        <w:rPr>
          <w:rFonts w:ascii="Arial" w:hAnsi="Arial" w:cs="Arial"/>
          <w:sz w:val="24"/>
          <w:szCs w:val="24"/>
        </w:rPr>
        <w:t>konferencije</w:t>
      </w:r>
      <w:proofErr w:type="spellEnd"/>
      <w:r>
        <w:rPr>
          <w:rFonts w:ascii="Arial" w:hAnsi="Arial" w:cs="Arial"/>
          <w:sz w:val="24"/>
          <w:szCs w:val="24"/>
        </w:rPr>
        <w:t xml:space="preserve"> i </w:t>
      </w:r>
      <w:proofErr w:type="spellStart"/>
      <w:r>
        <w:rPr>
          <w:rFonts w:ascii="Arial" w:hAnsi="Arial" w:cs="Arial"/>
          <w:sz w:val="24"/>
          <w:szCs w:val="24"/>
        </w:rPr>
        <w:t>nemaju</w:t>
      </w:r>
      <w:proofErr w:type="spellEnd"/>
      <w:r>
        <w:rPr>
          <w:rFonts w:ascii="Arial" w:hAnsi="Arial" w:cs="Arial"/>
          <w:sz w:val="24"/>
          <w:szCs w:val="24"/>
        </w:rPr>
        <w:t xml:space="preserve"> </w:t>
      </w:r>
      <w:proofErr w:type="spellStart"/>
      <w:r>
        <w:rPr>
          <w:rFonts w:ascii="Arial" w:hAnsi="Arial" w:cs="Arial"/>
          <w:sz w:val="24"/>
          <w:szCs w:val="24"/>
        </w:rPr>
        <w:t>nikakve</w:t>
      </w:r>
      <w:proofErr w:type="spellEnd"/>
      <w:r>
        <w:rPr>
          <w:rFonts w:ascii="Arial" w:hAnsi="Arial" w:cs="Arial"/>
          <w:sz w:val="24"/>
          <w:szCs w:val="24"/>
        </w:rPr>
        <w:t xml:space="preserve"> </w:t>
      </w:r>
      <w:proofErr w:type="spellStart"/>
      <w:r>
        <w:rPr>
          <w:rFonts w:ascii="Arial" w:hAnsi="Arial" w:cs="Arial"/>
          <w:sz w:val="24"/>
          <w:szCs w:val="24"/>
        </w:rPr>
        <w:t>veze</w:t>
      </w:r>
      <w:proofErr w:type="spellEnd"/>
      <w:r>
        <w:rPr>
          <w:rFonts w:ascii="Arial" w:hAnsi="Arial" w:cs="Arial"/>
          <w:sz w:val="24"/>
          <w:szCs w:val="24"/>
        </w:rPr>
        <w:t xml:space="preserve"> s </w:t>
      </w:r>
      <w:proofErr w:type="spellStart"/>
      <w:r>
        <w:rPr>
          <w:rFonts w:ascii="Arial" w:hAnsi="Arial" w:cs="Arial"/>
          <w:sz w:val="24"/>
          <w:szCs w:val="24"/>
        </w:rPr>
        <w:t>istom</w:t>
      </w:r>
      <w:proofErr w:type="spellEnd"/>
      <w:r>
        <w:rPr>
          <w:rFonts w:ascii="Arial" w:hAnsi="Arial" w:cs="Arial"/>
          <w:sz w:val="24"/>
          <w:szCs w:val="24"/>
        </w:rPr>
        <w:t>.</w:t>
      </w:r>
      <w:proofErr w:type="gramEnd"/>
    </w:p>
    <w:sectPr w:rsidR="00F07BB1" w:rsidRPr="00F07B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AC1109"/>
    <w:multiLevelType w:val="hybridMultilevel"/>
    <w:tmpl w:val="7EB2FB74"/>
    <w:lvl w:ilvl="0" w:tplc="A5B48756">
      <w:start w:val="1"/>
      <w:numFmt w:val="lowerLetter"/>
      <w:lvlText w:val="%1)"/>
      <w:lvlJc w:val="left"/>
      <w:pPr>
        <w:ind w:left="644" w:hanging="360"/>
      </w:pPr>
      <w:rPr>
        <w:rFonts w:hint="default"/>
      </w:rPr>
    </w:lvl>
    <w:lvl w:ilvl="1" w:tplc="141A0019" w:tentative="1">
      <w:start w:val="1"/>
      <w:numFmt w:val="lowerLetter"/>
      <w:lvlText w:val="%2."/>
      <w:lvlJc w:val="left"/>
      <w:pPr>
        <w:ind w:left="1364" w:hanging="360"/>
      </w:pPr>
    </w:lvl>
    <w:lvl w:ilvl="2" w:tplc="141A001B" w:tentative="1">
      <w:start w:val="1"/>
      <w:numFmt w:val="lowerRoman"/>
      <w:lvlText w:val="%3."/>
      <w:lvlJc w:val="right"/>
      <w:pPr>
        <w:ind w:left="2084" w:hanging="180"/>
      </w:pPr>
    </w:lvl>
    <w:lvl w:ilvl="3" w:tplc="141A000F" w:tentative="1">
      <w:start w:val="1"/>
      <w:numFmt w:val="decimal"/>
      <w:lvlText w:val="%4."/>
      <w:lvlJc w:val="left"/>
      <w:pPr>
        <w:ind w:left="2804" w:hanging="360"/>
      </w:pPr>
    </w:lvl>
    <w:lvl w:ilvl="4" w:tplc="141A0019" w:tentative="1">
      <w:start w:val="1"/>
      <w:numFmt w:val="lowerLetter"/>
      <w:lvlText w:val="%5."/>
      <w:lvlJc w:val="left"/>
      <w:pPr>
        <w:ind w:left="3524" w:hanging="360"/>
      </w:pPr>
    </w:lvl>
    <w:lvl w:ilvl="5" w:tplc="141A001B" w:tentative="1">
      <w:start w:val="1"/>
      <w:numFmt w:val="lowerRoman"/>
      <w:lvlText w:val="%6."/>
      <w:lvlJc w:val="right"/>
      <w:pPr>
        <w:ind w:left="4244" w:hanging="180"/>
      </w:pPr>
    </w:lvl>
    <w:lvl w:ilvl="6" w:tplc="141A000F" w:tentative="1">
      <w:start w:val="1"/>
      <w:numFmt w:val="decimal"/>
      <w:lvlText w:val="%7."/>
      <w:lvlJc w:val="left"/>
      <w:pPr>
        <w:ind w:left="4964" w:hanging="360"/>
      </w:pPr>
    </w:lvl>
    <w:lvl w:ilvl="7" w:tplc="141A0019" w:tentative="1">
      <w:start w:val="1"/>
      <w:numFmt w:val="lowerLetter"/>
      <w:lvlText w:val="%8."/>
      <w:lvlJc w:val="left"/>
      <w:pPr>
        <w:ind w:left="5684" w:hanging="360"/>
      </w:pPr>
    </w:lvl>
    <w:lvl w:ilvl="8" w:tplc="141A001B" w:tentative="1">
      <w:start w:val="1"/>
      <w:numFmt w:val="lowerRoman"/>
      <w:lvlText w:val="%9."/>
      <w:lvlJc w:val="right"/>
      <w:pPr>
        <w:ind w:left="6404" w:hanging="180"/>
      </w:pPr>
    </w:lvl>
  </w:abstractNum>
  <w:abstractNum w:abstractNumId="1">
    <w:nsid w:val="3F835259"/>
    <w:multiLevelType w:val="multilevel"/>
    <w:tmpl w:val="38884888"/>
    <w:lvl w:ilvl="0">
      <w:start w:val="1"/>
      <w:numFmt w:val="decimal"/>
      <w:pStyle w:val="Number"/>
      <w:lvlText w:val="%1."/>
      <w:lvlJc w:val="left"/>
      <w:pPr>
        <w:tabs>
          <w:tab w:val="num" w:pos="709"/>
        </w:tabs>
        <w:ind w:left="0" w:firstLine="0"/>
      </w:pPr>
      <w:rPr>
        <w:rFonts w:ascii="Times New Roman" w:hAnsi="Times New Roman" w:cs="Times New Roman" w:hint="default"/>
        <w:b w:val="0"/>
        <w:sz w:val="24"/>
        <w:szCs w:val="24"/>
      </w:rPr>
    </w:lvl>
    <w:lvl w:ilvl="1">
      <w:start w:val="1"/>
      <w:numFmt w:val="upp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497564BA"/>
    <w:multiLevelType w:val="hybridMultilevel"/>
    <w:tmpl w:val="A6AA6D0C"/>
    <w:lvl w:ilvl="0" w:tplc="CC767F2C">
      <w:start w:val="1"/>
      <w:numFmt w:val="decimal"/>
      <w:lvlText w:val="%1."/>
      <w:lvlJc w:val="left"/>
      <w:pPr>
        <w:ind w:left="360" w:hanging="360"/>
      </w:pPr>
      <w:rPr>
        <w:rFonts w:hint="default"/>
        <w:b/>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
    <w:nsid w:val="5B9D724B"/>
    <w:multiLevelType w:val="hybridMultilevel"/>
    <w:tmpl w:val="E984F54A"/>
    <w:lvl w:ilvl="0" w:tplc="DC2E7CAA">
      <w:numFmt w:val="bullet"/>
      <w:lvlText w:val="-"/>
      <w:lvlJc w:val="left"/>
      <w:pPr>
        <w:ind w:left="720" w:hanging="360"/>
      </w:pPr>
      <w:rPr>
        <w:rFonts w:ascii="Calibri" w:eastAsiaTheme="minorHAnsi" w:hAnsi="Calibri" w:cstheme="minorBidi"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
    <w:nsid w:val="6D540B74"/>
    <w:multiLevelType w:val="hybridMultilevel"/>
    <w:tmpl w:val="0A0855A0"/>
    <w:lvl w:ilvl="0" w:tplc="91A27E92">
      <w:start w:val="3"/>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
    <w:nsid w:val="714B17DE"/>
    <w:multiLevelType w:val="hybridMultilevel"/>
    <w:tmpl w:val="9A461C4E"/>
    <w:lvl w:ilvl="0" w:tplc="B58C47F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D7B"/>
    <w:rsid w:val="00034196"/>
    <w:rsid w:val="00932C2C"/>
    <w:rsid w:val="00D8359F"/>
    <w:rsid w:val="00D83F54"/>
    <w:rsid w:val="00DB5D7B"/>
    <w:rsid w:val="00E273E7"/>
    <w:rsid w:val="00F07BB1"/>
    <w:rsid w:val="00F26574"/>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34196"/>
    <w:pPr>
      <w:ind w:left="720"/>
      <w:contextualSpacing/>
    </w:pPr>
    <w:rPr>
      <w:rFonts w:eastAsiaTheme="minorEastAsia"/>
      <w:lang w:val="bs-Latn-BA" w:eastAsia="bs-Latn-BA"/>
    </w:rPr>
  </w:style>
  <w:style w:type="character" w:customStyle="1" w:styleId="ListParagraphChar">
    <w:name w:val="List Paragraph Char"/>
    <w:basedOn w:val="DefaultParagraphFont"/>
    <w:link w:val="ListParagraph"/>
    <w:rsid w:val="00034196"/>
    <w:rPr>
      <w:rFonts w:eastAsiaTheme="minorEastAsia"/>
      <w:lang w:eastAsia="bs-Latn-BA"/>
    </w:rPr>
  </w:style>
  <w:style w:type="paragraph" w:customStyle="1" w:styleId="BankNormal">
    <w:name w:val="BankNormal"/>
    <w:basedOn w:val="Normal"/>
    <w:rsid w:val="00034196"/>
    <w:pPr>
      <w:spacing w:after="24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F26574"/>
    <w:pPr>
      <w:spacing w:after="0" w:line="240" w:lineRule="auto"/>
    </w:pPr>
    <w:rPr>
      <w:rFonts w:eastAsiaTheme="minorEastAsia"/>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umber">
    <w:name w:val="Number"/>
    <w:basedOn w:val="Normal"/>
    <w:link w:val="NumberChar"/>
    <w:qFormat/>
    <w:rsid w:val="00F26574"/>
    <w:pPr>
      <w:numPr>
        <w:numId w:val="2"/>
      </w:numPr>
      <w:autoSpaceDE w:val="0"/>
      <w:autoSpaceDN w:val="0"/>
      <w:adjustRightInd w:val="0"/>
      <w:spacing w:before="120" w:after="120" w:line="240" w:lineRule="auto"/>
      <w:jc w:val="both"/>
    </w:pPr>
    <w:rPr>
      <w:rFonts w:ascii="Times New Roman" w:eastAsia="Calibri" w:hAnsi="Times New Roman" w:cs="Times New Roman"/>
      <w:sz w:val="24"/>
      <w:szCs w:val="24"/>
    </w:rPr>
  </w:style>
  <w:style w:type="character" w:customStyle="1" w:styleId="NumberChar">
    <w:name w:val="Number Char"/>
    <w:basedOn w:val="DefaultParagraphFont"/>
    <w:link w:val="Number"/>
    <w:rsid w:val="00F26574"/>
    <w:rPr>
      <w:rFonts w:ascii="Times New Roman" w:eastAsia="Calibri" w:hAnsi="Times New Roman" w:cs="Times New Roman"/>
      <w:sz w:val="24"/>
      <w:szCs w:val="24"/>
      <w:lang w:val="en-US"/>
    </w:rPr>
  </w:style>
  <w:style w:type="paragraph" w:customStyle="1" w:styleId="Default">
    <w:name w:val="Default"/>
    <w:rsid w:val="00F26574"/>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34196"/>
    <w:pPr>
      <w:ind w:left="720"/>
      <w:contextualSpacing/>
    </w:pPr>
    <w:rPr>
      <w:rFonts w:eastAsiaTheme="minorEastAsia"/>
      <w:lang w:val="bs-Latn-BA" w:eastAsia="bs-Latn-BA"/>
    </w:rPr>
  </w:style>
  <w:style w:type="character" w:customStyle="1" w:styleId="ListParagraphChar">
    <w:name w:val="List Paragraph Char"/>
    <w:basedOn w:val="DefaultParagraphFont"/>
    <w:link w:val="ListParagraph"/>
    <w:rsid w:val="00034196"/>
    <w:rPr>
      <w:rFonts w:eastAsiaTheme="minorEastAsia"/>
      <w:lang w:eastAsia="bs-Latn-BA"/>
    </w:rPr>
  </w:style>
  <w:style w:type="paragraph" w:customStyle="1" w:styleId="BankNormal">
    <w:name w:val="BankNormal"/>
    <w:basedOn w:val="Normal"/>
    <w:rsid w:val="00034196"/>
    <w:pPr>
      <w:spacing w:after="24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F26574"/>
    <w:pPr>
      <w:spacing w:after="0" w:line="240" w:lineRule="auto"/>
    </w:pPr>
    <w:rPr>
      <w:rFonts w:eastAsiaTheme="minorEastAsia"/>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umber">
    <w:name w:val="Number"/>
    <w:basedOn w:val="Normal"/>
    <w:link w:val="NumberChar"/>
    <w:qFormat/>
    <w:rsid w:val="00F26574"/>
    <w:pPr>
      <w:numPr>
        <w:numId w:val="2"/>
      </w:numPr>
      <w:autoSpaceDE w:val="0"/>
      <w:autoSpaceDN w:val="0"/>
      <w:adjustRightInd w:val="0"/>
      <w:spacing w:before="120" w:after="120" w:line="240" w:lineRule="auto"/>
      <w:jc w:val="both"/>
    </w:pPr>
    <w:rPr>
      <w:rFonts w:ascii="Times New Roman" w:eastAsia="Calibri" w:hAnsi="Times New Roman" w:cs="Times New Roman"/>
      <w:sz w:val="24"/>
      <w:szCs w:val="24"/>
    </w:rPr>
  </w:style>
  <w:style w:type="character" w:customStyle="1" w:styleId="NumberChar">
    <w:name w:val="Number Char"/>
    <w:basedOn w:val="DefaultParagraphFont"/>
    <w:link w:val="Number"/>
    <w:rsid w:val="00F26574"/>
    <w:rPr>
      <w:rFonts w:ascii="Times New Roman" w:eastAsia="Calibri" w:hAnsi="Times New Roman" w:cs="Times New Roman"/>
      <w:sz w:val="24"/>
      <w:szCs w:val="24"/>
      <w:lang w:val="en-US"/>
    </w:rPr>
  </w:style>
  <w:style w:type="paragraph" w:customStyle="1" w:styleId="Default">
    <w:name w:val="Default"/>
    <w:rsid w:val="00F2657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2620</Words>
  <Characters>14940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Goran Miraščić</dc:creator>
  <cp:lastModifiedBy>operater</cp:lastModifiedBy>
  <cp:revision>2</cp:revision>
  <dcterms:created xsi:type="dcterms:W3CDTF">2014-10-09T14:07:00Z</dcterms:created>
  <dcterms:modified xsi:type="dcterms:W3CDTF">2014-10-09T14:07:00Z</dcterms:modified>
</cp:coreProperties>
</file>